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353D0CE5">
      <w:pPr>
        <w:pStyle w:val="NoSpacing1"/>
        <w:pBdr>
          <w:bottom w:val="single" w:color="7F7F7F" w:sz="6" w:space="4"/>
        </w:pBdr>
        <w:spacing/>
        <w:jc w:val="center"/>
        <w:rPr>
          <w:color w:val="808080"/>
          <w:sz w:val="96"/>
          <w:szCs w:val="96"/>
        </w:rPr>
      </w:pPr>
      <w:bookmarkStart w:id="2" w:name="_Hlk40952974"/>
      <w:bookmarkStart w:id="3" w:name="_Hlk36202842"/>
      <w:bookmarkEnd w:id="2"/>
      <w:sdt>
        <w:sdtPr>
          <w:rPr>
            <w:color w:val="808080"/>
            <w:sz w:val="96"/>
            <w:szCs w:val="96"/>
          </w:rPr>
          <w:alias w:val="Title"/>
          <w:id w:val="923840694"/>
          <w:text/>
          <w:dataBinding w:prefixMappings="xmlns:ns0='http://purl.org/dc/elements/1.1/' xmlns:ns1='http://schemas.openxmlformats.org/package/2006/metadata/core-properties' " w:xpath="/ns1:coreProperties[1]/ns0:title[1]" w:storeItemID="{6C3C8BC8-F283-45AE-878A-BAB7291924A1}"/>
        </w:sdtPr>
        <w:sdtEndPr>
          <w:rPr/>
        </w:sdtEndPr>
        <w:sdtContent>
          <w:r>
            <w:rPr>
              <w:color w:val="808080"/>
              <w:sz w:val="96"/>
              <w:szCs w:val="96"/>
            </w:rPr>
            <w:t xml:space="preserve">ATIC Accessibility</w:t>
          </w:r>
        </w:sdtContent>
      </w:sdt>
    </w:p>
    <w:p w14:paraId="4FB8DFEE">
      <w:pPr>
        <w:pStyle w:val="NoSpacing1"/>
        <w:spacing w:before="240"/>
        <w:jc w:val="center"/>
        <w:rPr>
          <w:color w:val="006633"/>
          <w:kern w:val="0"/>
          <w:sz w:val="56"/>
          <w:szCs w:val="56"/>
          <w14:ligatures w14:val="none"/>
        </w:rPr>
      </w:pPr>
      <w:r>
        <w:rPr>
          <w:color w:val="006633"/>
          <w:kern w:val="0"/>
          <w:sz w:val="56"/>
          <w:szCs w:val="56"/>
          <w14:ligatures w14:val="none"/>
        </w:rPr>
        <w:t xml:space="preserve">To support the accessible community in making informed travel decisions for their individual needs</w:t>
      </w:r>
    </w:p>
    <w:p w14:paraId="625C5466">
      <w:pPr>
        <w:tabs>
          <w:tab w:val="left" w:pos="5572"/>
        </w:tabs>
        <w:spacing/>
        <w:rPr/>
      </w:pPr>
      <w:r>
        <w:rPr/>
        <w:tab/>
        <w:t xml:space="preserve"/>
      </w:r>
    </w:p>
    <w:p w14:paraId="7DAF0442">
      <w:pPr>
        <w:tabs>
          <w:tab w:val="left" w:pos="5572"/>
        </w:tabs>
        <w:spacing/>
        <w:jc w:val="center"/>
        <w:rPr/>
      </w:pPr>
    </w:p>
    <w:p w14:paraId="2ACA243C">
      <w:pPr>
        <w:tabs>
          <w:tab w:val="left" w:pos="5572"/>
        </w:tabs>
        <w:spacing/>
        <w:jc w:val="center"/>
        <w:rPr/>
      </w:pPr>
    </w:p>
    <w:p w14:paraId="5C327878">
      <w:pPr>
        <w:tabs>
          <w:tab w:val="left" w:pos="5572"/>
        </w:tabs>
        <w:spacing/>
        <w:jc w:val="center"/>
        <w:rPr/>
      </w:pPr>
    </w:p>
    <w:p w14:paraId="3AE441EE">
      <w:pPr>
        <w:tabs>
          <w:tab w:val="left" w:pos="5572"/>
        </w:tabs>
        <w:spacing/>
        <w:jc w:val="center"/>
        <w:rPr/>
      </w:pPr>
    </w:p>
    <w:p w14:paraId="70C36A49">
      <w:pPr>
        <w:tabs>
          <w:tab w:val="left" w:pos="5572"/>
        </w:tabs>
        <w:spacing/>
        <w:jc w:val="center"/>
        <w:rPr/>
      </w:pPr>
    </w:p>
    <w:p w14:paraId="4E72860F">
      <w:pPr>
        <w:tabs>
          <w:tab w:val="left" w:pos="5572"/>
        </w:tabs>
        <w:spacing/>
        <w:jc w:val="center"/>
        <w:rPr/>
      </w:pPr>
    </w:p>
    <w:p w14:paraId="4A324856">
      <w:pPr>
        <w:tabs>
          <w:tab w:val="left" w:pos="5572"/>
        </w:tabs>
        <w:spacing/>
        <w:jc w:val="center"/>
        <w:rPr/>
      </w:pPr>
    </w:p>
    <w:p w14:paraId="5D880620">
      <w:pPr>
        <w:tabs>
          <w:tab w:val="left" w:pos="5572"/>
        </w:tabs>
        <w:spacing/>
        <w:jc w:val="center"/>
        <w:rPr/>
      </w:pPr>
    </w:p>
    <w:p w14:paraId="678213E8">
      <w:pPr>
        <w:tabs>
          <w:tab w:val="left" w:pos="5572"/>
        </w:tabs>
        <w:spacing/>
        <w:jc w:val="center"/>
        <w:rPr/>
      </w:pPr>
    </w:p>
    <w:p w14:paraId="09414DAF">
      <w:pPr>
        <w:tabs>
          <w:tab w:val="left" w:pos="5572"/>
        </w:tabs>
        <w:spacing/>
        <w:jc w:val="center"/>
        <w:rPr/>
      </w:pPr>
    </w:p>
    <w:p w14:paraId="2D8AA65E">
      <w:pPr>
        <w:tabs>
          <w:tab w:val="left" w:pos="5572"/>
        </w:tabs>
        <w:spacing/>
        <w:jc w:val="center"/>
        <w:rPr/>
      </w:pPr>
    </w:p>
    <w:p w14:paraId="6BDD04B5">
      <w:pPr>
        <w:tabs>
          <w:tab w:val="left" w:pos="5572"/>
        </w:tabs>
        <w:spacing/>
        <w:jc w:val="center"/>
        <w:rPr/>
      </w:pPr>
    </w:p>
    <w:p w14:paraId="6128051F">
      <w:pPr>
        <w:tabs>
          <w:tab w:val="left" w:pos="5572"/>
        </w:tabs>
        <w:spacing/>
        <w:jc w:val="center"/>
        <w:rPr/>
      </w:pPr>
    </w:p>
    <w:p w14:paraId="1CCF542A">
      <w:pPr>
        <w:tabs>
          <w:tab w:val="left" w:pos="5572"/>
        </w:tabs>
        <w:spacing/>
        <w:jc w:val="center"/>
        <w:rPr/>
      </w:pPr>
    </w:p>
    <w:p w14:paraId="21CE7EFC">
      <w:pPr>
        <w:tabs>
          <w:tab w:val="left" w:pos="5572"/>
        </w:tabs>
        <w:spacing/>
        <w:jc w:val="center"/>
        <w:rPr/>
        <w:sectPr>
          <w:footerReference w:type="default" r:id="rId1"/>
          <w:type w:val="continuous"/>
          <w:pgSz w:w="11906" w:h="16838"/>
          <w:pgMar w:top="1440" w:right="1440" w:bottom="1440" w:left="1440" w:header="708" w:footer="708" w:gutter="0"/>
          <w:pgBorders/>
          <w:pgNumType w:fmt="decimal"/>
          <w:cols w:num="1" w:equalWidth="1" w:space="708"/>
          <w:docGrid w:linePitch="360"/>
        </w:sectPr>
      </w:pPr>
    </w:p>
    <w:p w14:paraId="1DCF8469">
      <w:pPr>
        <w:tabs>
          <w:tab w:val="left" w:pos="3735"/>
        </w:tabs>
        <w:spacing/>
        <w:rPr>
          <w:sz w:val="28"/>
          <w:szCs w:val="28"/>
        </w:rPr>
      </w:pPr>
      <w:r>
        <w:rPr>
          <w:sz w:val="28"/>
          <w:szCs w:val="28"/>
        </w:rPr>
        <w:t xml:space="preserve">This report prepared for:</w:t>
      </w:r>
      <w:r>
        <w:rPr>
          <w:sz w:val="28"/>
          <w:szCs w:val="28"/>
        </w:rPr>
        <w:tab/>
        <w:t xml:space="preserve"/>
      </w:r>
    </w:p>
    <w:tbl>
      <w:tblPr>
        <w:tblStyle w:val="TableGrid"/>
        <w:tblW w:w="8634" w:type="dxa"/>
        <w:tblBorders>
          <w:top w:val="single" w:color="7F7F7F" w:sz="8" w:space="0"/>
          <w:left w:val="single" w:color="7F7F7F" w:sz="8" w:space="0"/>
          <w:bottom w:val="single" w:color="7F7F7F" w:sz="8" w:space="0"/>
          <w:right w:val="single" w:color="7F7F7F" w:sz="8" w:space="0"/>
          <w:insideH w:val="single" w:color="7F7F7F" w:sz="8" w:space="0"/>
          <w:insideV w:val="single" w:color="7F7F7F" w:sz="8" w:space="0"/>
        </w:tblBorders>
        <w:tblLook w:val="04A0" w:firstRow="1" w:lastRow="0" w:firstColumn="1" w:lastColumn="0" w:noHBand="0" w:noVBand="1"/>
      </w:tblPr>
      <w:tblGrid>
        <w:gridCol w:w="2835"/>
        <w:gridCol w:w="5799"/>
      </w:tblGrid>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Business name:</w:t>
            </w:r>
          </w:p>
        </w:tc>
        <w:tc>
          <w:tcPr>
            <w:tcW w:type="dxa" w:w="5799"/>
            <w:tcBorders>
              <w:top w:val="nil"/>
              <w:left w:val="nil"/>
              <w:bottom w:val="single" w:color="7F7F7F" w:sz="8" w:space="0"/>
              <w:right w:val="nil"/>
            </w:tcBorders>
            <w:hideMark/>
          </w:tcPr>
          <w:p>
            <w:pPr>
              <w:spacing/>
              <w:rPr>
                <w:color w:val="000000"/>
                <w:sz w:val="28"/>
                <w:szCs w:val="28"/>
              </w:rPr>
            </w:pPr>
            <w:r>
              <w:rPr>
                <w:sz w:val="28"/>
                <w:szCs w:val="28"/>
              </w:rPr>
              <w:t xml:space="preserve">Greater Shepparton City Council / Greater Shepparton Visitor Centre</w:t>
            </w:r>
          </w:p>
        </w:tc>
      </w:tr>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Address:</w:t>
            </w:r>
          </w:p>
        </w:tc>
        <w:tc>
          <w:tcPr>
            <w:tcW w:type="dxa" w:w="5799"/>
            <w:tcBorders>
              <w:top w:val="single" w:color="7F7F7F" w:sz="8" w:space="0"/>
              <w:left w:val="nil"/>
              <w:bottom w:val="single" w:color="7F7F7F" w:sz="8" w:space="0"/>
              <w:right w:val="nil"/>
            </w:tcBorders>
          </w:tcPr>
          <w:p>
            <w:pPr>
              <w:spacing/>
              <w:rPr>
                <w:sz w:val="28"/>
                <w:szCs w:val="28"/>
              </w:rPr>
            </w:pPr>
            <w:r>
              <w:rPr>
                <w:color w:val="000000"/>
                <w:sz w:val="28"/>
                <w:szCs w:val="28"/>
              </w:rPr>
              <w:t xml:space="preserve">530 Wyndham Street</w:t>
            </w:r>
          </w:p>
        </w:tc>
      </w:tr>
      <w:tr>
        <w:trPr>
          <w:trHeight w:val="60"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Town:</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Shepparton</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for enquiries:</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Maree Glasson</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Number:</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0358329330</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Email:</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info@sheppandgv.com.au</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Website:</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https://sheppandgv.com.au/see-and-do/greater-shepparton-visitor-centre</w:t>
            </w:r>
          </w:p>
        </w:tc>
      </w:tr>
      <w:tr>
        <w:trPr>
          <w:trHeight w:val="379"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Date:</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2026-07-20 16:06</w:t>
            </w:r>
          </w:p>
        </w:tc>
      </w:tr>
    </w:tbl>
    <w:p w14:paraId="50E51090">
      <w:pPr>
        <w:tabs>
          <w:tab w:val="left" w:pos="3735"/>
        </w:tabs>
        <w:spacing/>
        <w:rPr>
          <w:sz w:val="28"/>
          <w:szCs w:val="28"/>
        </w:rPr>
      </w:pPr>
    </w:p>
    <w:sdt>
      <w:sdtPr>
        <w:rPr/>
        <w:id w:val="-1759435426"/>
        <w:docPartObj>
          <w:docPartGallery w:val="Table of Contents"/>
          <w:docPartUnique/>
        </w:docPartObj>
      </w:sdtPr>
      <w:sdtEndPr>
        <w:rPr>
          <w:b/>
          <w:bCs/>
          <w:noProof/>
        </w:rPr>
      </w:sdtEndPr>
      <w:sdtContent>
        <w:p w14:paraId="31B14432">
          <w:pPr>
            <w:spacing/>
            <w:jc w:val="center"/>
            <w:rPr/>
          </w:pPr>
          <w:r>
            <w:rPr>
              <w:color w:val="2F5496"/>
              <w:sz w:val="44"/>
              <w:szCs w:val="44"/>
            </w:rPr>
            <w:t xml:space="preserve">ATIC </w:t>
          </w:r>
          <w:r>
            <w:rPr>
              <w:color w:val="2F5496"/>
              <w:sz w:val="48"/>
              <w:szCs w:val="48"/>
            </w:rPr>
            <w:t xml:space="preserve">Accessibility</w:t>
          </w:r>
        </w:p>
        <w:p w14:paraId="4740F19C">
          <w:pPr>
            <w:spacing/>
            <w:ind w:left="360"/>
            <w:rPr>
              <w:szCs w:val="24"/>
            </w:rPr>
          </w:pPr>
          <w:r>
            <w:rPr>
              <w:szCs w:val="24"/>
            </w:rPr>
            <w:t xml:space="preserve">The following pages provides travellers with information on the businesses facilities and amenities which aims to support the traveller to make an informed decision on whether the business is suitable for their individual needs.</w:t>
          </w:r>
        </w:p>
        <w:p>
          <w:pPr>
            <w:pStyle w:val="TOC1"/>
            <w:tabs>
              <w:tab w:val="right" w:leader="dot" w:pos="9016"/>
            </w:tabs>
            <w:spacing/>
            <w:rPr/>
          </w:pPr>
          <w:r>
            <w:rPr/>
            <w:fldChar w:fldCharType="begin"/>
          </w:r>
          <w:r>
            <w:rPr/>
            <w:instrText xml:space="preserve"> TOC \o "1-3" \h \z \u </w:instrText>
          </w:r>
          <w:r>
            <w:rPr/>
            <w:fldChar w:fldCharType="separate"/>
          </w:r>
          <w:r>
            <w:rPr>
              <w:rStyle w:val="Hyperlink"/>
            </w:rPr>
            <w:fldChar w:fldCharType="begin"/>
          </w:r>
          <w:r>
            <w:rPr/>
            <w:instrText xml:space="preserve">HYPERLINK \l "_Toc0000000001"</w:instrText>
          </w:r>
          <w:r>
            <w:rPr>
              <w:rStyle w:val="Hyperlink"/>
            </w:rPr>
            <w:fldChar w:fldCharType="separate"/>
          </w:r>
          <w:r>
            <w:rPr>
              <w:rStyle w:val="Hyperlink"/>
            </w:rPr>
            <w:t xml:space="preserve">OVERVIEW</w:t>
          </w:r>
          <w:r>
            <w:rPr/>
            <w:tab/>
            <w:t xml:space="preserve"/>
          </w:r>
          <w:r>
            <w:rPr/>
            <w:fldChar w:fldCharType="begin"/>
          </w:r>
          <w:r>
            <w:rPr/>
            <w:instrText xml:space="preserve">PAGEREF _Toc0000000001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"_Toc0000000002"</w:instrText>
          </w:r>
          <w:r>
            <w:rPr>
              <w:rStyle w:val="Hyperlink"/>
            </w:rPr>
            <w:fldChar w:fldCharType="separate"/>
          </w:r>
          <w:r>
            <w:rPr>
              <w:rStyle w:val="Hyperlink"/>
            </w:rPr>
            <w:t xml:space="preserve">Business Overview</w:t>
          </w:r>
          <w:r>
            <w:rPr/>
            <w:tab/>
            <w:t xml:space="preserve"/>
          </w:r>
          <w:r>
            <w:rPr/>
            <w:fldChar w:fldCharType="begin"/>
          </w:r>
          <w:r>
            <w:rPr/>
            <w:instrText xml:space="preserve">PAGEREF _Toc0000000002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"_Toc0000000003"</w:instrText>
          </w:r>
          <w:r>
            <w:rPr>
              <w:rStyle w:val="Hyperlink"/>
            </w:rPr>
            <w:fldChar w:fldCharType="separate"/>
          </w:r>
          <w:r>
            <w:rPr>
              <w:rStyle w:val="Hyperlink"/>
            </w:rPr>
            <w:t xml:space="preserve">Bookings</w:t>
          </w:r>
          <w:r>
            <w:rPr/>
            <w:tab/>
            <w:t xml:space="preserve"/>
          </w:r>
          <w:r>
            <w:rPr/>
            <w:fldChar w:fldCharType="begin"/>
          </w:r>
          <w:r>
            <w:rPr/>
            <w:instrText xml:space="preserve">PAGEREF _Toc0000000003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"_Toc0000000004"</w:instrText>
          </w:r>
          <w:r>
            <w:rPr>
              <w:rStyle w:val="Hyperlink"/>
            </w:rPr>
            <w:fldChar w:fldCharType="separate"/>
          </w:r>
          <w:r>
            <w:rPr>
              <w:rStyle w:val="Hyperlink"/>
            </w:rPr>
            <w:t xml:space="preserve">Emergency Management</w:t>
          </w:r>
          <w:r>
            <w:rPr/>
            <w:tab/>
            <w:t xml:space="preserve"/>
          </w:r>
          <w:r>
            <w:rPr/>
            <w:fldChar w:fldCharType="begin"/>
          </w:r>
          <w:r>
            <w:rPr/>
            <w:instrText xml:space="preserve">PAGEREF _Toc0000000004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"_Toc0000000005"</w:instrText>
          </w:r>
          <w:r>
            <w:rPr>
              <w:rStyle w:val="Hyperlink"/>
            </w:rPr>
            <w:fldChar w:fldCharType="separate"/>
          </w:r>
          <w:r>
            <w:rPr>
              <w:rStyle w:val="Hyperlink"/>
            </w:rPr>
            <w:t xml:space="preserve">Communications</w:t>
          </w:r>
          <w:r>
            <w:rPr/>
            <w:tab/>
            <w:t xml:space="preserve"/>
          </w:r>
          <w:r>
            <w:rPr/>
            <w:fldChar w:fldCharType="begin"/>
          </w:r>
          <w:r>
            <w:rPr/>
            <w:instrText xml:space="preserve">PAGEREF _Toc0000000005 \h</w:instrText>
          </w:r>
          <w:r>
            <w:rPr/>
            <w:fldChar w:fldCharType="separate"/>
          </w:r>
          <w:r>
            <w:rPr/>
            <w:t xml:space="preserve">5</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"_Toc0000000006"</w:instrText>
          </w:r>
          <w:r>
            <w:rPr>
              <w:rStyle w:val="Hyperlink"/>
            </w:rPr>
            <w:fldChar w:fldCharType="separate"/>
          </w:r>
          <w:r>
            <w:rPr>
              <w:rStyle w:val="Hyperlink"/>
            </w:rPr>
            <w:t xml:space="preserve">Other Information</w:t>
          </w:r>
          <w:r>
            <w:rPr/>
            <w:tab/>
            <w:t xml:space="preserve"/>
          </w:r>
          <w:r>
            <w:rPr/>
            <w:fldChar w:fldCharType="begin"/>
          </w:r>
          <w:r>
            <w:rPr/>
            <w:instrText xml:space="preserve">PAGEREF _Toc0000000006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"_Toc0000000007"</w:instrText>
          </w:r>
          <w:r>
            <w:rPr>
              <w:rStyle w:val="Hyperlink"/>
            </w:rPr>
            <w:fldChar w:fldCharType="separate"/>
          </w:r>
          <w:r>
            <w:rPr>
              <w:rStyle w:val="Hyperlink"/>
            </w:rPr>
            <w:t xml:space="preserve">Guide Dog and Service Animals</w:t>
          </w:r>
          <w:r>
            <w:rPr/>
            <w:tab/>
            <w:t xml:space="preserve"/>
          </w:r>
          <w:r>
            <w:rPr/>
            <w:fldChar w:fldCharType="begin"/>
          </w:r>
          <w:r>
            <w:rPr/>
            <w:instrText xml:space="preserve">PAGEREF _Toc0000000007 \h</w:instrText>
          </w:r>
          <w:r>
            <w:rPr/>
            <w:fldChar w:fldCharType="separate"/>
          </w:r>
          <w:r>
            <w:rPr/>
            <w:t xml:space="preserve">6</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"_Toc0000000008"</w:instrText>
          </w:r>
          <w:r>
            <w:rPr>
              <w:rStyle w:val="Hyperlink"/>
            </w:rPr>
            <w:fldChar w:fldCharType="separate"/>
          </w:r>
          <w:r>
            <w:rPr>
              <w:rStyle w:val="Hyperlink"/>
            </w:rPr>
            <w:t xml:space="preserve">GENERAL</w:t>
          </w:r>
          <w:r>
            <w:rPr/>
            <w:tab/>
            <w:t xml:space="preserve"/>
          </w:r>
          <w:r>
            <w:rPr/>
            <w:fldChar w:fldCharType="begin"/>
          </w:r>
          <w:r>
            <w:rPr/>
            <w:instrText xml:space="preserve">PAGEREF _Toc0000000008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"_Toc0000000009"</w:instrText>
          </w:r>
          <w:r>
            <w:rPr>
              <w:rStyle w:val="Hyperlink"/>
            </w:rPr>
            <w:fldChar w:fldCharType="separate"/>
          </w:r>
          <w:r>
            <w:rPr>
              <w:rStyle w:val="Hyperlink"/>
            </w:rPr>
            <w:t xml:space="preserve">Pre-arrival, arrival and reception</w:t>
          </w:r>
          <w:r>
            <w:rPr/>
            <w:tab/>
            <w:t xml:space="preserve"/>
          </w:r>
          <w:r>
            <w:rPr/>
            <w:fldChar w:fldCharType="begin"/>
          </w:r>
          <w:r>
            <w:rPr/>
            <w:instrText xml:space="preserve">PAGEREF _Toc0000000009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"_Toc0000000010"</w:instrText>
          </w:r>
          <w:r>
            <w:rPr>
              <w:rStyle w:val="Hyperlink"/>
            </w:rPr>
            <w:fldChar w:fldCharType="separate"/>
          </w:r>
          <w:r>
            <w:rPr>
              <w:rStyle w:val="Hyperlink"/>
            </w:rPr>
            <w:t xml:space="preserve">Cognitive Impairment Support</w:t>
          </w:r>
          <w:r>
            <w:rPr/>
            <w:tab/>
            <w:t xml:space="preserve"/>
          </w:r>
          <w:r>
            <w:rPr/>
            <w:fldChar w:fldCharType="begin"/>
          </w:r>
          <w:r>
            <w:rPr/>
            <w:instrText xml:space="preserve">PAGEREF _Toc0000000010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"_Toc0000000011"</w:instrText>
          </w:r>
          <w:r>
            <w:rPr>
              <w:rStyle w:val="Hyperlink"/>
            </w:rPr>
            <w:fldChar w:fldCharType="separate"/>
          </w:r>
          <w:r>
            <w:rPr>
              <w:rStyle w:val="Hyperlink"/>
            </w:rPr>
            <w:t xml:space="preserve">Car Park and Access amenities</w:t>
          </w:r>
          <w:r>
            <w:rPr/>
            <w:tab/>
            <w:t xml:space="preserve"/>
          </w:r>
          <w:r>
            <w:rPr/>
            <w:fldChar w:fldCharType="begin"/>
          </w:r>
          <w:r>
            <w:rPr/>
            <w:instrText xml:space="preserve">PAGEREF _Toc0000000011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"_Toc0000000012"</w:instrText>
          </w:r>
          <w:r>
            <w:rPr>
              <w:rStyle w:val="Hyperlink"/>
            </w:rPr>
            <w:fldChar w:fldCharType="separate"/>
          </w:r>
          <w:r>
            <w:rPr>
              <w:rStyle w:val="Hyperlink"/>
            </w:rPr>
            <w:t xml:space="preserve">Entry</w:t>
          </w:r>
          <w:r>
            <w:rPr/>
            <w:tab/>
            <w:t xml:space="preserve"/>
          </w:r>
          <w:r>
            <w:rPr/>
            <w:fldChar w:fldCharType="begin"/>
          </w:r>
          <w:r>
            <w:rPr/>
            <w:instrText xml:space="preserve">PAGEREF _Toc0000000012 \h</w:instrText>
          </w:r>
          <w:r>
            <w:rPr/>
            <w:fldChar w:fldCharType="separate"/>
          </w:r>
          <w:r>
            <w:rPr/>
            <w:t xml:space="preserve">8</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"_Toc0000000013"</w:instrText>
          </w:r>
          <w:r>
            <w:rPr>
              <w:rStyle w:val="Hyperlink"/>
            </w:rPr>
            <w:fldChar w:fldCharType="separate"/>
          </w:r>
          <w:r>
            <w:rPr>
              <w:rStyle w:val="Hyperlink"/>
            </w:rPr>
            <w:t xml:space="preserve">Internal Spaces</w:t>
          </w:r>
          <w:r>
            <w:rPr/>
            <w:tab/>
            <w:t xml:space="preserve"/>
          </w:r>
          <w:r>
            <w:rPr/>
            <w:fldChar w:fldCharType="begin"/>
          </w:r>
          <w:r>
            <w:rPr/>
            <w:instrText xml:space="preserve">PAGEREF _Toc0000000013 \h</w:instrText>
          </w:r>
          <w:r>
            <w:rPr/>
            <w:fldChar w:fldCharType="separate"/>
          </w:r>
          <w:r>
            <w:rPr/>
            <w:t xml:space="preserve">8</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"_Toc0000000014"</w:instrText>
          </w:r>
          <w:r>
            <w:rPr>
              <w:rStyle w:val="Hyperlink"/>
            </w:rPr>
            <w:fldChar w:fldCharType="separate"/>
          </w:r>
          <w:r>
            <w:rPr>
              <w:rStyle w:val="Hyperlink"/>
            </w:rPr>
            <w:t xml:space="preserve">Public areas</w:t>
          </w:r>
          <w:r>
            <w:rPr/>
            <w:tab/>
            <w:t xml:space="preserve"/>
          </w:r>
          <w:r>
            <w:rPr/>
            <w:fldChar w:fldCharType="begin"/>
          </w:r>
          <w:r>
            <w:rPr/>
            <w:instrText xml:space="preserve">PAGEREF _Toc0000000014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"_Toc0000000015"</w:instrText>
          </w:r>
          <w:r>
            <w:rPr>
              <w:rStyle w:val="Hyperlink"/>
            </w:rPr>
            <w:fldChar w:fldCharType="separate"/>
          </w:r>
          <w:r>
            <w:rPr>
              <w:rStyle w:val="Hyperlink"/>
            </w:rPr>
            <w:t xml:space="preserve">External Paths</w:t>
          </w:r>
          <w:r>
            <w:rPr/>
            <w:tab/>
            <w:t xml:space="preserve"/>
          </w:r>
          <w:r>
            <w:rPr/>
            <w:fldChar w:fldCharType="begin"/>
          </w:r>
          <w:r>
            <w:rPr/>
            <w:instrText xml:space="preserve">PAGEREF _Toc0000000015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"_Toc0000000016"</w:instrText>
          </w:r>
          <w:r>
            <w:rPr>
              <w:rStyle w:val="Hyperlink"/>
            </w:rPr>
            <w:fldChar w:fldCharType="separate"/>
          </w:r>
          <w:r>
            <w:rPr>
              <w:rStyle w:val="Hyperlink"/>
            </w:rPr>
            <w:t xml:space="preserve">Public Toilets/Adult change facilities</w:t>
          </w:r>
          <w:r>
            <w:rPr/>
            <w:tab/>
            <w:t xml:space="preserve"/>
          </w:r>
          <w:r>
            <w:rPr/>
            <w:fldChar w:fldCharType="begin"/>
          </w:r>
          <w:r>
            <w:rPr/>
            <w:instrText xml:space="preserve">PAGEREF _Toc0000000016 \h</w:instrText>
          </w:r>
          <w:r>
            <w:rPr/>
            <w:fldChar w:fldCharType="separate"/>
          </w:r>
          <w:r>
            <w:rPr/>
            <w:t xml:space="preserve">9</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"_Toc0000000017"</w:instrText>
          </w:r>
          <w:r>
            <w:rPr>
              <w:rStyle w:val="Hyperlink"/>
            </w:rPr>
            <w:fldChar w:fldCharType="separate"/>
          </w:r>
          <w:r>
            <w:rPr>
              <w:rStyle w:val="Hyperlink"/>
            </w:rPr>
            <w:t xml:space="preserve">COMMON AREAS</w:t>
          </w:r>
          <w:r>
            <w:rPr/>
            <w:tab/>
            <w:t xml:space="preserve"/>
          </w:r>
          <w:r>
            <w:rPr/>
            <w:fldChar w:fldCharType="begin"/>
          </w:r>
          <w:r>
            <w:rPr/>
            <w:instrText xml:space="preserve">PAGEREF _Toc0000000017 \h</w:instrText>
          </w:r>
          <w:r>
            <w:rPr/>
            <w:fldChar w:fldCharType="separate"/>
          </w:r>
          <w:r>
            <w:rPr/>
            <w:t xml:space="preserve">11</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"_Toc0000000018"</w:instrText>
          </w:r>
          <w:r>
            <w:rPr>
              <w:rStyle w:val="Hyperlink"/>
            </w:rPr>
            <w:fldChar w:fldCharType="separate"/>
          </w:r>
          <w:r>
            <w:rPr>
              <w:rStyle w:val="Hyperlink"/>
            </w:rPr>
            <w:t xml:space="preserve">Report Disclaimer</w:t>
          </w:r>
          <w:r>
            <w:rPr/>
            <w:tab/>
            <w:t xml:space="preserve"/>
          </w:r>
          <w:r>
            <w:rPr/>
            <w:fldChar w:fldCharType="begin"/>
          </w:r>
          <w:r>
            <w:rPr/>
            <w:instrText xml:space="preserve">PAGEREF _Toc0000000018 \h</w:instrText>
          </w:r>
          <w:r>
            <w:rPr/>
            <w:fldChar w:fldCharType="separate"/>
          </w:r>
          <w:r>
            <w:rPr/>
            <w:t xml:space="preserve">13</w:t>
          </w:r>
          <w:r>
            <w:rPr/>
            <w:fldChar w:fldCharType="end"/>
          </w:r>
          <w:r>
            <w:rPr>
              <w:rStyle w:val="Hyperlink"/>
            </w:rPr>
            <w:fldChar w:fldCharType="end"/>
          </w:r>
        </w:p>
        <w:p w14:paraId="50B7E526">
          <w:pPr>
            <w:spacing/>
            <w:rPr>
              <w:b/>
              <w:bCs/>
              <w:noProof/>
            </w:rPr>
          </w:pPr>
          <w:r>
            <w:rPr/>
            <w:fldChar w:fldCharType="end"/>
          </w:r>
        </w:p>
      </w:sdtContent>
    </w:sdt>
    <w:p w14:paraId="0AB5CB84">
      <w:pPr>
        <w:spacing/>
        <w:rPr>
          <w:rFonts w:cs="Times New Roman"/>
          <w:b/>
          <w:sz w:val="20"/>
        </w:rPr>
      </w:pPr>
      <w:bookmarkStart w:id="4" w:name="TemplateTable"/>
      <w:bookmarkEnd w:id="3"/>
      <w:bookmarkEnd w:id="4"/>
    </w:p>
    <w:p w14:paraId="5E6C929D">
      <w:pPr>
        <w:spacing w:before="120" w:line="256" w:lineRule="auto"/>
        <w:rPr>
          <w:rFonts w:cs="Times New Roman"/>
          <w:b/>
          <w:sz w:val="20"/>
        </w:rPr>
      </w:pPr>
    </w:p>
    <w:p>
      <w:pPr>
        <w:pStyle w:val="Heading1"/>
        <w:spacing/>
        <w:rPr/>
      </w:pPr>
      <w:bookmarkStart w:id="5" w:name="_Toc0000000001"/>
      <w:r>
        <w:rPr/>
        <w:t xml:space="preserve">OVERVIEW</w:t>
      </w:r>
      <w:bookmarkEnd w:id="5"/>
    </w:p>
    <w:p>
      <w:pPr>
        <w:spacing/>
        <w:rPr/>
      </w:pPr>
      <w:r>
        <w:rPr/>
        <w:t xml:space="preserve"> </w:t>
      </w:r>
    </w:p>
    <w:p>
      <w:pPr>
        <w:pStyle w:val="Heading2"/>
        <w:spacing/>
        <w:rPr/>
      </w:pPr>
      <w:bookmarkStart w:id="6" w:name="_Toc0000000002"/>
      <w:r>
        <w:rPr/>
        <w:t xml:space="preserve">Business Overview</w:t>
      </w:r>
      <w:bookmarkEnd w:id="6"/>
    </w:p>
    <w:p>
      <w:pPr>
        <w:spacing/>
        <w:rPr/>
      </w:pPr>
      <w:r>
        <w:rPr/>
        <w:t xml:space="preserve"> </w:t>
      </w:r>
    </w:p>
    <w:p>
      <w:pPr>
        <w:spacing/>
        <w:rPr/>
      </w:pPr>
      <w:r>
        <w:rPr/>
        <w:t xml:space="preserve">The business has the following products/services available</w:t>
      </w:r>
    </w:p>
    <w:p>
      <w:pPr>
        <w:spacing/>
        <w:rPr/>
      </w:pPr>
      <w:r>
        <w:rPr/>
        <w:t xml:space="preserve"> </w:t>
      </w:r>
    </w:p>
    <w:p>
      <w:pPr>
        <w:spacing/>
        <w:rPr/>
      </w:pPr>
      <w:r>
        <w:rPr/>
        <w:t xml:space="preserve">Our business caters for the following disability types:</w:t>
      </w:r>
    </w:p>
    <w:p>
      <w:pPr>
        <w:pStyle w:val="ListBullet"/>
        <w:numPr>
          <w:ilvl w:val="0"/>
          <w:numId w:val="35"/>
        </w:numPr>
        <w:spacing/>
        <w:rPr/>
      </w:pPr>
      <w:r>
        <w:rPr/>
        <w:t xml:space="preserve">Blind or low vision</w:t>
      </w:r>
    </w:p>
    <w:p>
      <w:pPr>
        <w:pStyle w:val="ListBullet"/>
        <w:numPr>
          <w:ilvl w:val="0"/>
          <w:numId w:val="35"/>
        </w:numPr>
        <w:spacing/>
        <w:rPr/>
      </w:pPr>
      <w:r>
        <w:rPr/>
        <w:t xml:space="preserve">Deaf or low hearing</w:t>
      </w:r>
    </w:p>
    <w:p>
      <w:pPr>
        <w:pStyle w:val="ListBullet"/>
        <w:numPr>
          <w:ilvl w:val="0"/>
          <w:numId w:val="35"/>
        </w:numPr>
        <w:spacing/>
        <w:rPr/>
      </w:pPr>
      <w:r>
        <w:rPr/>
        <w:t xml:space="preserve">Limited mobility</w:t>
      </w:r>
    </w:p>
    <w:p>
      <w:pPr>
        <w:pStyle w:val="ListBullet"/>
        <w:numPr>
          <w:ilvl w:val="0"/>
          <w:numId w:val="35"/>
        </w:numPr>
        <w:spacing/>
        <w:rPr/>
      </w:pPr>
      <w:r>
        <w:rPr/>
        <w:t xml:space="preserve">Wheelchairs or mobility scooters</w:t>
      </w:r>
    </w:p>
    <w:p>
      <w:pPr>
        <w:pStyle w:val="ListBullet"/>
        <w:numPr>
          <w:ilvl w:val="0"/>
          <w:numId w:val="35"/>
        </w:numPr>
        <w:spacing/>
        <w:rPr/>
      </w:pPr>
      <w:r>
        <w:rPr/>
        <w:t xml:space="preserve">Food allergies or intolerances</w:t>
      </w:r>
    </w:p>
    <w:p>
      <w:pPr>
        <w:pStyle w:val="ListBullet"/>
        <w:numPr>
          <w:ilvl w:val="0"/>
          <w:numId w:val="35"/>
        </w:numPr>
        <w:spacing/>
        <w:rPr/>
      </w:pPr>
      <w:r>
        <w:rPr/>
        <w:t xml:space="preserve">Cognitive or people on the Autism Spectrum</w:t>
      </w:r>
    </w:p>
    <w:p>
      <w:pPr>
        <w:spacing/>
        <w:rPr/>
      </w:pPr>
      <w:r>
        <w:rPr/>
        <w:drawing>
          <wp:inline>
            <wp:extent cx="2540000" cy="144780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2540000" cy="1447800"/>
                    </a:xfrm>
                    <a:prstGeom prst="rect">
                      <a:avLst/>
                    </a:prstGeom>
                  </pic:spPr>
                </pic:pic>
              </a:graphicData>
            </a:graphic>
          </wp:inline>
        </w:drawing>
      </w:r>
    </w:p>
    <w:p>
      <w:pPr>
        <w:spacing/>
        <w:rPr/>
      </w:pPr>
      <w:r>
        <w:rPr/>
        <w:t xml:space="preserve"> </w:t>
      </w:r>
    </w:p>
    <w:p>
      <w:pPr>
        <w:pStyle w:val="Heading2"/>
        <w:spacing/>
        <w:rPr/>
      </w:pPr>
      <w:bookmarkStart w:id="7" w:name="_Toc0000000003"/>
      <w:r>
        <w:rPr/>
        <w:t xml:space="preserve">Bookings</w:t>
      </w:r>
      <w:bookmarkEnd w:id="7"/>
    </w:p>
    <w:p>
      <w:pPr>
        <w:spacing/>
        <w:rPr/>
      </w:pPr>
      <w:r>
        <w:rPr/>
        <w:t xml:space="preserve"> </w:t>
      </w:r>
    </w:p>
    <w:p>
      <w:pPr>
        <w:spacing/>
        <w:rPr/>
      </w:pPr>
      <w:r>
        <w:rPr/>
        <w:t xml:space="preserve">The business offers the following methods for bookings and enquiries:</w:t>
      </w:r>
    </w:p>
    <w:p>
      <w:pPr>
        <w:pStyle w:val="ListBullet"/>
        <w:numPr>
          <w:ilvl w:val="0"/>
          <w:numId w:val="35"/>
        </w:numPr>
        <w:spacing/>
        <w:rPr/>
      </w:pPr>
      <w:r>
        <w:rPr/>
        <w:t xml:space="preserve">Phone</w:t>
      </w:r>
    </w:p>
    <w:p>
      <w:pPr>
        <w:pStyle w:val="ListBullet"/>
        <w:numPr>
          <w:ilvl w:val="0"/>
          <w:numId w:val="35"/>
        </w:numPr>
        <w:spacing/>
        <w:rPr/>
      </w:pPr>
      <w:r>
        <w:rPr/>
        <w:t xml:space="preserve">Email</w:t>
      </w:r>
    </w:p>
    <w:p>
      <w:pPr>
        <w:pStyle w:val="ListBullet"/>
        <w:numPr>
          <w:ilvl w:val="0"/>
          <w:numId w:val="35"/>
        </w:numPr>
        <w:spacing/>
        <w:rPr/>
      </w:pPr>
      <w:r>
        <w:rPr/>
        <w:t xml:space="preserve">Webportal</w:t>
      </w:r>
    </w:p>
    <w:p>
      <w:pPr>
        <w:pStyle w:val="ListBullet"/>
        <w:numPr>
          <w:ilvl w:val="0"/>
          <w:numId w:val="35"/>
        </w:numPr>
        <w:spacing/>
        <w:rPr/>
      </w:pPr>
      <w:r>
        <w:rPr/>
        <w:t xml:space="preserve">Our website supports Screen Readers</w:t>
      </w:r>
    </w:p>
    <w:p>
      <w:pPr>
        <w:pStyle w:val="ListBullet"/>
        <w:numPr>
          <w:ilvl w:val="0"/>
          <w:numId w:val="35"/>
        </w:numPr>
        <w:spacing/>
        <w:rPr/>
      </w:pPr>
      <w:r>
        <w:rPr/>
        <w:t xml:space="preserve">Our forms have high contract boxes and submit boxes</w:t>
      </w:r>
    </w:p>
    <w:p>
      <w:pPr>
        <w:pStyle w:val="ListBullet"/>
        <w:numPr>
          <w:ilvl w:val="0"/>
          <w:numId w:val="35"/>
        </w:numPr>
        <w:spacing/>
        <w:rPr/>
      </w:pPr>
      <w:r>
        <w:rPr/>
        <w:t xml:space="preserve">Staff have undergone disability awareness and training</w:t>
      </w:r>
    </w:p>
    <w:p>
      <w:pPr>
        <w:spacing/>
        <w:rPr/>
      </w:pPr>
      <w:r>
        <w:rPr/>
        <w:t xml:space="preserve"> </w:t>
      </w:r>
    </w:p>
    <w:p>
      <w:pPr>
        <w:pStyle w:val="Heading2"/>
        <w:spacing/>
        <w:rPr/>
      </w:pPr>
      <w:bookmarkStart w:id="8" w:name="_Toc0000000004"/>
      <w:r>
        <w:rPr/>
        <w:t xml:space="preserve">Emergency Management</w:t>
      </w:r>
      <w:bookmarkEnd w:id="8"/>
    </w:p>
    <w:p>
      <w:pPr>
        <w:spacing/>
        <w:rPr/>
      </w:pPr>
    </w:p>
    <w:p>
      <w:pPr>
        <w:pBdr/>
        <w:spacing/>
        <w:rPr/>
      </w:pPr>
      <w:r>
        <w:rPr/>
        <w:t xml:space="preserve">Visitors attending the visitor centre are only onsite for a short time, and are always within eye sight of staff and volunteers. </w:t>
      </w:r>
    </w:p>
    <w:p>
      <w:pPr>
        <w:pStyle w:val="ListBullet"/>
        <w:numPr>
          <w:ilvl w:val="0"/>
          <w:numId w:val="35"/>
        </w:numPr>
        <w:spacing/>
        <w:rPr/>
      </w:pPr>
      <w:r>
        <w:rPr/>
        <w:t xml:space="preserve">There are Audible device/s to alert occupants to evacuate with instructions on how to evacuate.</w:t>
      </w:r>
    </w:p>
    <w:p>
      <w:pPr>
        <w:pStyle w:val="ListBullet"/>
        <w:numPr>
          <w:ilvl w:val="0"/>
          <w:numId w:val="35"/>
        </w:numPr>
        <w:spacing/>
        <w:rPr/>
      </w:pPr>
      <w:r>
        <w:rPr/>
        <w:t xml:space="preserve">There are visual device/s to alert occupants to evacuate.</w:t>
      </w:r>
    </w:p>
    <w:p>
      <w:pPr>
        <w:pStyle w:val="ListBullet"/>
        <w:numPr>
          <w:ilvl w:val="0"/>
          <w:numId w:val="35"/>
        </w:numPr>
        <w:spacing/>
        <w:rPr/>
      </w:pPr>
      <w:r>
        <w:rPr/>
        <w:t xml:space="preserve">Exit signs are clear and easy to see</w:t>
      </w:r>
    </w:p>
    <w:p>
      <w:pPr>
        <w:pStyle w:val="ListBullet"/>
        <w:numPr>
          <w:ilvl w:val="0"/>
          <w:numId w:val="35"/>
        </w:numPr>
        <w:spacing/>
        <w:rPr/>
      </w:pPr>
      <w:r>
        <w:rPr/>
        <w:t xml:space="preserve">Exit signs have raised lettering or braille</w:t>
      </w:r>
    </w:p>
    <w:p>
      <w:pPr>
        <w:pStyle w:val="ListBullet"/>
        <w:numPr>
          <w:ilvl w:val="0"/>
          <w:numId w:val="35"/>
        </w:numPr>
        <w:spacing/>
        <w:rPr/>
      </w:pPr>
      <w:r>
        <w:rPr/>
        <w:t xml:space="preserve">Exit access is free and clear at all times</w:t>
      </w:r>
    </w:p>
    <w:p>
      <w:pPr>
        <w:spacing/>
        <w:rPr/>
      </w:pPr>
      <w:r>
        <w:rPr/>
        <w:t xml:space="preserve">We ensure exit access is free and clear at all times by: </w:t>
      </w:r>
    </w:p>
    <w:p>
      <w:pPr>
        <w:pBdr/>
        <w:spacing/>
        <w:rPr/>
      </w:pPr>
      <w:r>
        <w:rPr/>
        <w:t xml:space="preserve">The exit access is the main entry. This is checked to ensure clear on a regular basis, as it not only impacts during an emergency, but also would impact day to day business if it wasn't clear.</w:t>
      </w:r>
    </w:p>
    <w:p>
      <w:pPr>
        <w:pStyle w:val="ListBullet"/>
        <w:numPr>
          <w:ilvl w:val="0"/>
          <w:numId w:val="35"/>
        </w:numPr>
        <w:spacing/>
        <w:rPr/>
      </w:pPr>
      <w:r>
        <w:rPr/>
        <w:t xml:space="preserve">Exits and access to exists are greater than 900mm</w:t>
      </w:r>
    </w:p>
    <w:p>
      <w:pPr>
        <w:pStyle w:val="ListBullet"/>
        <w:numPr>
          <w:ilvl w:val="0"/>
          <w:numId w:val="35"/>
        </w:numPr>
        <w:spacing/>
        <w:rPr/>
      </w:pPr>
      <w:r>
        <w:rPr/>
        <w:t xml:space="preserve">Exit doors are able to be opened by all occupants</w:t>
      </w:r>
    </w:p>
    <w:p>
      <w:pPr>
        <w:pStyle w:val="ListBullet"/>
        <w:numPr>
          <w:ilvl w:val="0"/>
          <w:numId w:val="35"/>
        </w:numPr>
        <w:spacing/>
        <w:rPr/>
      </w:pPr>
      <w:r>
        <w:rPr/>
        <w:t xml:space="preserve">Exits to the emergency evacuation point does not include stairways</w:t>
      </w:r>
    </w:p>
    <w:p>
      <w:pPr>
        <w:pStyle w:val="ListBullet"/>
        <w:numPr>
          <w:ilvl w:val="0"/>
          <w:numId w:val="35"/>
        </w:numPr>
        <w:spacing/>
        <w:rPr/>
      </w:pPr>
      <w:r>
        <w:rPr/>
        <w:t xml:space="preserve">The evacuation point is clearly marked by a sign</w:t>
      </w:r>
    </w:p>
    <w:p>
      <w:pPr>
        <w:spacing/>
        <w:rPr/>
      </w:pPr>
      <w:r>
        <w:rPr/>
        <w:t xml:space="preserve">The business identifies guests who need additional assistance should an emergency occur by: </w:t>
      </w:r>
    </w:p>
    <w:p>
      <w:pPr>
        <w:pBdr/>
        <w:spacing/>
        <w:rPr/>
      </w:pPr>
      <w:r>
        <w:rPr/>
        <w:t xml:space="preserve">As staff are checking the Centre is clear, visitors are communicated with to ensure everyone is able to evacuate the building safely.</w:t>
      </w:r>
    </w:p>
    <w:p>
      <w:pPr>
        <w:spacing/>
        <w:rPr/>
      </w:pPr>
      <w:r>
        <w:rPr/>
        <w:t xml:space="preserve">The procedure for assisting guests who need assisted rescue is: </w:t>
      </w:r>
    </w:p>
    <w:p>
      <w:pPr>
        <w:pBdr/>
        <w:spacing/>
        <w:rPr/>
      </w:pPr>
      <w:r>
        <w:rPr/>
        <w:t xml:space="preserve">Staff check with visitors, and if assistance is required that is beyond what is manageable by staff, then they communicate the needs to emergency services when they arrive. </w:t>
      </w:r>
    </w:p>
    <w:p>
      <w:pPr>
        <w:spacing/>
        <w:rPr/>
      </w:pPr>
      <w:r>
        <w:rPr/>
        <w:t xml:space="preserve"> </w:t>
      </w:r>
    </w:p>
    <w:p>
      <w:pPr>
        <w:pStyle w:val="Heading2"/>
        <w:spacing/>
        <w:rPr/>
      </w:pPr>
      <w:bookmarkStart w:id="9" w:name="_Toc0000000005"/>
      <w:r>
        <w:rPr/>
        <w:t xml:space="preserve">Communications</w:t>
      </w:r>
      <w:bookmarkEnd w:id="9"/>
    </w:p>
    <w:p>
      <w:pPr>
        <w:pStyle w:val="ListBullet"/>
        <w:numPr>
          <w:ilvl w:val="0"/>
          <w:numId w:val="35"/>
        </w:numPr>
        <w:spacing/>
        <w:rPr/>
      </w:pPr>
      <w:r>
        <w:rPr/>
        <w:t xml:space="preserve">An accessibility guide is available on the website</w:t>
      </w:r>
    </w:p>
    <w:p>
      <w:pPr>
        <w:spacing/>
        <w:rPr/>
      </w:pPr>
    </w:p>
    <w:p>
      <w:pPr>
        <w:pBdr/>
        <w:spacing/>
        <w:rPr/>
      </w:pPr>
      <w:r>
        <w:rPr/>
        <w:t xml:space="preserve">https://sheppandgv.com.au/listing/accessibility-in-shepparton--goulburn-valley-1203</w:t>
      </w:r>
    </w:p>
    <w:p>
      <w:pPr>
        <w:pStyle w:val="ListBullet"/>
        <w:numPr>
          <w:ilvl w:val="0"/>
          <w:numId w:val="35"/>
        </w:numPr>
        <w:spacing/>
        <w:rPr/>
      </w:pPr>
      <w:r>
        <w:rPr/>
        <w:t xml:space="preserve">Our website meets WCAG 2.0 accessibility standards</w:t>
      </w:r>
    </w:p>
    <w:p>
      <w:pPr>
        <w:pStyle w:val="ListBullet"/>
        <w:numPr>
          <w:ilvl w:val="0"/>
          <w:numId w:val="35"/>
        </w:numPr>
        <w:spacing/>
        <w:rPr/>
      </w:pPr>
      <w:r>
        <w:rPr/>
        <w:t xml:space="preserve">Our business offers the following alternative communication methods</w:t>
      </w:r>
    </w:p>
    <w:p>
      <w:pPr>
        <w:pStyle w:val="ListBullet"/>
        <w:numPr>
          <w:ilvl w:val="0"/>
          <w:numId w:val="35"/>
        </w:numPr>
        <w:spacing/>
        <w:rPr/>
      </w:pPr>
      <w:r>
        <w:rPr/>
        <w:t xml:space="preserve">Plain English</w:t>
      </w:r>
    </w:p>
    <w:p>
      <w:pPr>
        <w:pStyle w:val="ListBullet"/>
        <w:numPr>
          <w:ilvl w:val="0"/>
          <w:numId w:val="35"/>
        </w:numPr>
        <w:spacing/>
        <w:rPr/>
      </w:pPr>
      <w:r>
        <w:rPr/>
        <w:t xml:space="preserve">Magnifiers</w:t>
      </w:r>
    </w:p>
    <w:p>
      <w:pPr>
        <w:spacing/>
        <w:rPr/>
      </w:pPr>
    </w:p>
    <w:p>
      <w:pPr>
        <w:pBdr/>
        <w:spacing/>
        <w:rPr/>
      </w:pPr>
      <w:r>
        <w:rPr/>
        <w:t xml:space="preserve">Communication boards and Alphabet boards displayed and readily accessible. One staff person is proficient with Auslan.  The Visitor Centre is equipped with a hearing loop.</w:t>
      </w:r>
    </w:p>
    <w:p>
      <w:pPr>
        <w:pStyle w:val="ListBullet"/>
        <w:numPr>
          <w:ilvl w:val="0"/>
          <w:numId w:val="35"/>
        </w:numPr>
        <w:spacing/>
        <w:rPr/>
      </w:pPr>
      <w:r>
        <w:rPr/>
        <w:t xml:space="preserve">There is easy to read signage and information (e.g. menus and emergency information)</w:t>
      </w:r>
    </w:p>
    <w:p>
      <w:pPr>
        <w:pStyle w:val="ListBullet"/>
        <w:numPr>
          <w:ilvl w:val="0"/>
          <w:numId w:val="35"/>
        </w:numPr>
        <w:spacing/>
        <w:rPr/>
      </w:pPr>
      <w:r>
        <w:rPr/>
        <w:t xml:space="preserve">There are Picture boards</w:t>
      </w:r>
    </w:p>
    <w:p>
      <w:pPr>
        <w:pStyle w:val="Subtitle"/>
        <w:spacing/>
        <w:rPr/>
      </w:pPr>
      <w:r>
        <w:rPr/>
        <w:t xml:space="preserve">Picture Boards Image(s)</w:t>
      </w:r>
    </w:p>
    <w:p>
      <w:pPr>
        <w:spacing/>
        <w:rPr/>
      </w:pPr>
      <w:r>
        <w:rPr/>
        <w:drawing>
          <wp:inline>
            <wp:extent cx="1435100" cy="254000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a:srcRect/>
                    <a:stretch>
                      <a:fillRect/>
                    </a:stretch>
                  </pic:blipFill>
                  <pic:spPr bwMode="auto">
                    <a:xfrm>
                      <a:off x="0" y="0"/>
                      <a:ext cx="1435100" cy="2540000"/>
                    </a:xfrm>
                    <a:prstGeom prst="rect">
                      <a:avLst/>
                    </a:prstGeom>
                  </pic:spPr>
                </pic:pic>
              </a:graphicData>
            </a:graphic>
          </wp:inline>
        </w:drawing>
      </w:r>
    </w:p>
    <w:p>
      <w:pPr>
        <w:spacing/>
        <w:rPr/>
      </w:pPr>
      <w:r>
        <w:rPr/>
        <w:t xml:space="preserve">Communication boards and Alphabet Board available at the Visitor Centre</w:t>
      </w:r>
    </w:p>
    <w:p>
      <w:pPr>
        <w:spacing/>
        <w:rPr/>
      </w:pPr>
      <w:r>
        <w:rPr/>
        <w:t xml:space="preserve"> </w:t>
      </w:r>
    </w:p>
    <w:p>
      <w:pPr>
        <w:pStyle w:val="Heading2"/>
        <w:spacing/>
        <w:rPr/>
      </w:pPr>
      <w:bookmarkStart w:id="10" w:name="_Toc0000000006"/>
      <w:r>
        <w:rPr/>
        <w:t xml:space="preserve">Other Information</w:t>
      </w:r>
      <w:bookmarkEnd w:id="10"/>
    </w:p>
    <w:p>
      <w:pPr>
        <w:pStyle w:val="ListBullet"/>
        <w:numPr>
          <w:ilvl w:val="0"/>
          <w:numId w:val="35"/>
        </w:numPr>
        <w:spacing/>
        <w:rPr/>
      </w:pPr>
      <w:r>
        <w:rPr/>
        <w:t xml:space="preserve">The business accepts the companion card</w:t>
      </w:r>
    </w:p>
    <w:p>
      <w:pPr>
        <w:spacing/>
        <w:rPr/>
      </w:pPr>
      <w:r>
        <w:rPr/>
        <w:t xml:space="preserve"> </w:t>
      </w:r>
    </w:p>
    <w:p>
      <w:pPr>
        <w:pStyle w:val="Heading2"/>
        <w:spacing/>
        <w:rPr/>
      </w:pPr>
      <w:bookmarkStart w:id="11" w:name="_Toc0000000007"/>
      <w:r>
        <w:rPr/>
        <w:t xml:space="preserve">Guide Dog and Service Animals</w:t>
      </w:r>
      <w:bookmarkEnd w:id="11"/>
    </w:p>
    <w:p>
      <w:pPr>
        <w:pStyle w:val="ListBullet"/>
        <w:numPr>
          <w:ilvl w:val="0"/>
          <w:numId w:val="35"/>
        </w:numPr>
        <w:spacing/>
        <w:rPr/>
      </w:pPr>
      <w:r>
        <w:rPr/>
        <w:t xml:space="preserve">The business provides a secure area with shade and water for service animals</w:t>
      </w:r>
    </w:p>
    <w:p>
      <w:pPr>
        <w:spacing/>
        <w:rPr/>
      </w:pPr>
      <w:r>
        <w:rPr/>
        <w:t xml:space="preserve">The business provides the following services for services animals: </w:t>
      </w:r>
    </w:p>
    <w:p>
      <w:pPr>
        <w:pBdr/>
        <w:spacing/>
        <w:rPr/>
      </w:pPr>
      <w:r>
        <w:rPr/>
        <w:t xml:space="preserve">The Visitor Centre provides a dog water bowl at the main entrance.</w:t>
      </w:r>
    </w:p>
    <w:p>
      <w:pPr>
        <w:pStyle w:val="Heading1"/>
        <w:spacing/>
        <w:rPr/>
      </w:pPr>
      <w:bookmarkStart w:id="12" w:name="_Toc0000000008"/>
      <w:r>
        <w:rPr/>
        <w:t xml:space="preserve">GENERAL</w:t>
      </w:r>
      <w:bookmarkEnd w:id="12"/>
    </w:p>
    <w:p>
      <w:pPr>
        <w:spacing/>
        <w:rPr/>
      </w:pPr>
      <w:r>
        <w:rPr/>
        <w:t xml:space="preserve"> </w:t>
      </w:r>
    </w:p>
    <w:p>
      <w:pPr>
        <w:pStyle w:val="Heading2"/>
        <w:spacing/>
        <w:rPr/>
      </w:pPr>
      <w:bookmarkStart w:id="13" w:name="_Toc0000000009"/>
      <w:r>
        <w:rPr/>
        <w:t xml:space="preserve">Pre-arrival, arrival and reception</w:t>
      </w:r>
      <w:bookmarkEnd w:id="13"/>
    </w:p>
    <w:p>
      <w:pPr>
        <w:spacing/>
        <w:rPr/>
      </w:pPr>
      <w:r>
        <w:rPr/>
        <w:t xml:space="preserve">The business has the following in place to support guests during pre-arrival, arrival and reception</w:t>
      </w:r>
    </w:p>
    <w:p>
      <w:pPr>
        <w:pStyle w:val="ListBullet"/>
        <w:numPr>
          <w:ilvl w:val="0"/>
          <w:numId w:val="35"/>
        </w:numPr>
        <w:spacing/>
        <w:rPr/>
      </w:pPr>
      <w:r>
        <w:rPr/>
        <w:t xml:space="preserve">Booking information and websites are compatible with screen readers</w:t>
      </w:r>
    </w:p>
    <w:p>
      <w:pPr>
        <w:pStyle w:val="ListBullet"/>
        <w:numPr>
          <w:ilvl w:val="0"/>
          <w:numId w:val="35"/>
        </w:numPr>
        <w:spacing/>
        <w:rPr/>
      </w:pPr>
      <w:r>
        <w:rPr/>
        <w:t xml:space="preserve">Information and maps are available in written form</w:t>
      </w:r>
    </w:p>
    <w:p>
      <w:pPr>
        <w:pStyle w:val="ListBullet"/>
        <w:numPr>
          <w:ilvl w:val="0"/>
          <w:numId w:val="35"/>
        </w:numPr>
        <w:spacing/>
        <w:rPr/>
      </w:pPr>
      <w:r>
        <w:rPr/>
        <w:t xml:space="preserve">Advertising material, web sites and social media contain information relating to phone numbers available for non-voice communication e: Text, SMS, email and fax</w:t>
      </w:r>
    </w:p>
    <w:p>
      <w:pPr>
        <w:pStyle w:val="ListBullet"/>
        <w:numPr>
          <w:ilvl w:val="0"/>
          <w:numId w:val="35"/>
        </w:numPr>
        <w:spacing/>
        <w:rPr/>
      </w:pPr>
      <w:r>
        <w:rPr/>
        <w:t xml:space="preserve">A key to any accessible facilities that are locked</w:t>
      </w:r>
    </w:p>
    <w:p>
      <w:pPr>
        <w:pStyle w:val="ListBullet"/>
        <w:numPr>
          <w:ilvl w:val="0"/>
          <w:numId w:val="35"/>
        </w:numPr>
        <w:spacing/>
        <w:rPr/>
      </w:pPr>
      <w:r>
        <w:rPr/>
        <w:t xml:space="preserve">In addition, the following further information can assist guests:</w:t>
      </w:r>
    </w:p>
    <w:p>
      <w:pPr>
        <w:spacing/>
        <w:rPr/>
      </w:pPr>
      <w:r>
        <w:rPr/>
        <w:t xml:space="preserve">Chairs and couches are available for visitors throughout their visit. Back up staff are readily available to assist in this instance and can sit with staff to address their needs. &amp;nbsp;Printed information is available on a self serve basis.</w:t>
      </w:r>
    </w:p>
    <w:p>
      <w:pPr>
        <w:pStyle w:val="ListBullet"/>
        <w:numPr>
          <w:ilvl w:val="0"/>
          <w:numId w:val="35"/>
        </w:numPr>
        <w:spacing/>
        <w:rPr/>
      </w:pPr>
      <w:r>
        <w:rPr/>
        <w:t xml:space="preserve">In addition, the following further information can assist guests:</w:t>
      </w:r>
    </w:p>
    <w:p>
      <w:pPr>
        <w:spacing/>
        <w:rPr/>
      </w:pPr>
      <w:r>
        <w:rPr/>
        <w:t xml:space="preserve">Whilst the Centre doesn't offer a familiarisation tour of the centre as such, each guest is greeted by a friendly staff member of volunteer who guides them to the various sections of information.</w:t>
      </w:r>
    </w:p>
    <w:p>
      <w:pPr>
        <w:spacing/>
        <w:rPr/>
      </w:pPr>
      <w:r>
        <w:rPr/>
        <w:t xml:space="preserve"> </w:t>
      </w:r>
    </w:p>
    <w:p>
      <w:pPr>
        <w:pStyle w:val="Heading2"/>
        <w:spacing/>
        <w:rPr/>
      </w:pPr>
      <w:bookmarkStart w:id="14" w:name="_Toc0000000010"/>
      <w:r>
        <w:rPr/>
        <w:t xml:space="preserve">Cognitive Impairment Support</w:t>
      </w:r>
      <w:bookmarkEnd w:id="14"/>
    </w:p>
    <w:p>
      <w:pPr>
        <w:pStyle w:val="ListBullet"/>
        <w:numPr>
          <w:ilvl w:val="0"/>
          <w:numId w:val="35"/>
        </w:numPr>
        <w:spacing/>
        <w:rPr/>
      </w:pPr>
      <w:r>
        <w:rPr/>
        <w:t xml:space="preserve">Documents are available in plain English for people with cognitive impairment (This may include instructions, guides, menus and general information)</w:t>
      </w:r>
    </w:p>
    <w:p>
      <w:pPr>
        <w:pStyle w:val="ListBullet"/>
        <w:numPr>
          <w:ilvl w:val="0"/>
          <w:numId w:val="35"/>
        </w:numPr>
        <w:spacing/>
        <w:rPr/>
      </w:pPr>
      <w:r>
        <w:rPr/>
        <w:t xml:space="preserve">A space for parents and children on the Autism Spectrum</w:t>
      </w:r>
    </w:p>
    <w:p>
      <w:pPr>
        <w:spacing/>
        <w:rPr/>
      </w:pPr>
      <w:r>
        <w:rPr/>
        <w:t xml:space="preserve"> </w:t>
      </w:r>
    </w:p>
    <w:p>
      <w:pPr>
        <w:pStyle w:val="Heading2"/>
        <w:spacing/>
        <w:rPr/>
      </w:pPr>
      <w:bookmarkStart w:id="15" w:name="_Toc0000000011"/>
      <w:r>
        <w:rPr/>
        <w:t xml:space="preserve">Car Park and Access amenities</w:t>
      </w:r>
      <w:bookmarkEnd w:id="15"/>
    </w:p>
    <w:p>
      <w:pPr>
        <w:spacing/>
        <w:rPr/>
      </w:pPr>
      <w:r>
        <w:rPr/>
        <w:t xml:space="preserve">The business has the following Car Park and Access amenities</w:t>
      </w:r>
    </w:p>
    <w:p>
      <w:pPr>
        <w:pStyle w:val="ListBullet"/>
        <w:numPr>
          <w:ilvl w:val="0"/>
          <w:numId w:val="35"/>
        </w:numPr>
        <w:spacing/>
        <w:rPr/>
      </w:pPr>
      <w:r>
        <w:rPr/>
        <w:t xml:space="preserve">A drop off zone</w:t>
      </w:r>
    </w:p>
    <w:p>
      <w:pPr>
        <w:pStyle w:val="ListBullet"/>
        <w:numPr>
          <w:ilvl w:val="0"/>
          <w:numId w:val="35"/>
        </w:numPr>
        <w:spacing/>
        <w:rPr/>
      </w:pPr>
      <w:r>
        <w:rPr/>
        <w:t xml:space="preserve">Designated disabled parking bays</w:t>
      </w:r>
    </w:p>
    <w:p>
      <w:pPr>
        <w:pStyle w:val="ListBullet"/>
        <w:numPr>
          <w:ilvl w:val="0"/>
          <w:numId w:val="35"/>
        </w:numPr>
        <w:spacing/>
        <w:rPr/>
      </w:pPr>
      <w:r>
        <w:rPr/>
        <w:t xml:space="preserve">Level or ramped access from the car park to the entrance</w:t>
      </w:r>
    </w:p>
    <w:p>
      <w:pPr>
        <w:pStyle w:val="ListBullet"/>
        <w:numPr>
          <w:ilvl w:val="0"/>
          <w:numId w:val="35"/>
        </w:numPr>
        <w:spacing/>
        <w:rPr/>
      </w:pPr>
      <w:r>
        <w:rPr/>
        <w:t xml:space="preserve">The accessible entrance is clearly signed from the parking bay</w:t>
      </w:r>
    </w:p>
    <w:p>
      <w:pPr>
        <w:pStyle w:val="ListBullet"/>
        <w:numPr>
          <w:ilvl w:val="0"/>
          <w:numId w:val="35"/>
        </w:numPr>
        <w:spacing/>
        <w:rPr/>
      </w:pPr>
      <w:r>
        <w:rPr/>
        <w:t xml:space="preserve">Kerb ramps are in place where a pavement or walkway needs to be crossed</w:t>
      </w:r>
    </w:p>
    <w:p>
      <w:pPr>
        <w:pStyle w:val="ListBullet"/>
        <w:numPr>
          <w:ilvl w:val="0"/>
          <w:numId w:val="35"/>
        </w:numPr>
        <w:spacing/>
        <w:rPr/>
      </w:pPr>
      <w:r>
        <w:rPr/>
        <w:t xml:space="preserve">In addition, the following further information can assist guests:</w:t>
      </w:r>
    </w:p>
    <w:p>
      <w:pPr>
        <w:spacing/>
        <w:rPr/>
      </w:pPr>
      <w:r>
        <w:rPr/>
        <w:t xml:space="preserve">There is a large driveway loop at the front of the Visitor Centre with a drop off point and two accessible parking spaces. Additional accessible parking spaces are provided in the main carpark.The Centre has two couches, tables and chairs with colour in pictures for those wishing to have some quiet time and those awaiting driver pickup. &amp;nbsp;There is also a bench seat located directly outside the front door.</w:t>
      </w:r>
    </w:p>
    <w:p>
      <w:pPr>
        <w:spacing/>
        <w:rPr/>
      </w:pPr>
      <w:r>
        <w:rPr/>
        <w:t xml:space="preserve"> </w:t>
      </w:r>
    </w:p>
    <w:p>
      <w:pPr>
        <w:pStyle w:val="Heading2"/>
        <w:spacing/>
        <w:rPr/>
      </w:pPr>
      <w:bookmarkStart w:id="16" w:name="_Toc0000000012"/>
      <w:r>
        <w:rPr/>
        <w:t xml:space="preserve">Entry</w:t>
      </w:r>
      <w:bookmarkEnd w:id="16"/>
    </w:p>
    <w:p>
      <w:pPr>
        <w:spacing/>
        <w:rPr/>
      </w:pPr>
      <w:r>
        <w:rPr/>
        <w:t xml:space="preserve">The business has the following amenities/systems in place for entry</w:t>
      </w:r>
    </w:p>
    <w:p>
      <w:pPr>
        <w:pStyle w:val="ListBullet"/>
        <w:numPr>
          <w:ilvl w:val="0"/>
          <w:numId w:val="35"/>
        </w:numPr>
        <w:spacing/>
        <w:rPr/>
      </w:pPr>
      <w:r>
        <w:rPr/>
        <w:t xml:space="preserve">A drop off point close to the entrance</w:t>
      </w:r>
    </w:p>
    <w:p>
      <w:pPr>
        <w:pStyle w:val="ListBullet"/>
        <w:numPr>
          <w:ilvl w:val="0"/>
          <w:numId w:val="35"/>
        </w:numPr>
        <w:spacing/>
        <w:rPr/>
      </w:pPr>
      <w:r>
        <w:rPr/>
        <w:t xml:space="preserve">A path of access to the building is slip resistance and even</w:t>
      </w:r>
    </w:p>
    <w:p>
      <w:pPr>
        <w:pStyle w:val="ListBullet"/>
        <w:numPr>
          <w:ilvl w:val="0"/>
          <w:numId w:val="35"/>
        </w:numPr>
        <w:spacing/>
        <w:rPr/>
      </w:pPr>
      <w:r>
        <w:rPr/>
        <w:t xml:space="preserve">A path of access to the building is clear of obstruction</w:t>
      </w:r>
    </w:p>
    <w:p>
      <w:pPr>
        <w:pStyle w:val="ListBullet"/>
        <w:numPr>
          <w:ilvl w:val="0"/>
          <w:numId w:val="35"/>
        </w:numPr>
        <w:spacing/>
        <w:rPr/>
      </w:pPr>
      <w:r>
        <w:rPr/>
        <w:t xml:space="preserve">Self opening entry doors or fitted with a self closer</w:t>
      </w:r>
    </w:p>
    <w:p>
      <w:pPr>
        <w:pStyle w:val="ListBullet"/>
        <w:numPr>
          <w:ilvl w:val="0"/>
          <w:numId w:val="35"/>
        </w:numPr>
        <w:spacing/>
        <w:rPr/>
      </w:pPr>
      <w:r>
        <w:rPr/>
        <w:t xml:space="preserve">Glass doors are fitted with a visual sighting strip</w:t>
      </w:r>
    </w:p>
    <w:p>
      <w:pPr>
        <w:pStyle w:val="ListBullet"/>
        <w:numPr>
          <w:ilvl w:val="0"/>
          <w:numId w:val="35"/>
        </w:numPr>
        <w:spacing/>
        <w:rPr/>
      </w:pPr>
      <w:r>
        <w:rPr/>
        <w:t xml:space="preserve">Door jams/doors are of a contrasting colour to surrounding walls</w:t>
      </w:r>
    </w:p>
    <w:p>
      <w:pPr>
        <w:pStyle w:val="ListBullet"/>
        <w:numPr>
          <w:ilvl w:val="0"/>
          <w:numId w:val="35"/>
        </w:numPr>
        <w:spacing/>
        <w:rPr/>
      </w:pPr>
      <w:r>
        <w:rPr/>
        <w:t xml:space="preserve">Door handles are of a contrasting colour to the door</w:t>
      </w:r>
    </w:p>
    <w:p>
      <w:pPr>
        <w:pStyle w:val="ListBullet"/>
        <w:numPr>
          <w:ilvl w:val="0"/>
          <w:numId w:val="35"/>
        </w:numPr>
        <w:spacing/>
        <w:rPr/>
      </w:pPr>
      <w:r>
        <w:rPr/>
        <w:t xml:space="preserve">Signage is written in a contrasting colour</w:t>
      </w:r>
    </w:p>
    <w:p>
      <w:pPr>
        <w:pStyle w:val="ListBullet"/>
        <w:numPr>
          <w:ilvl w:val="0"/>
          <w:numId w:val="35"/>
        </w:numPr>
        <w:spacing/>
        <w:rPr/>
      </w:pPr>
      <w:r>
        <w:rPr/>
        <w:t xml:space="preserve">The entry door is a minimum of 850mm wide</w:t>
      </w:r>
    </w:p>
    <w:p>
      <w:pPr>
        <w:pStyle w:val="ListBullet"/>
        <w:numPr>
          <w:ilvl w:val="0"/>
          <w:numId w:val="35"/>
        </w:numPr>
        <w:spacing/>
        <w:rPr/>
      </w:pPr>
      <w:r>
        <w:rPr/>
        <w:t xml:space="preserve">The entry door has self opening or a light opening pressure (for manual operations)</w:t>
      </w:r>
    </w:p>
    <w:p>
      <w:pPr>
        <w:pStyle w:val="ListBullet"/>
        <w:numPr>
          <w:ilvl w:val="0"/>
          <w:numId w:val="35"/>
        </w:numPr>
        <w:spacing/>
        <w:rPr/>
      </w:pPr>
      <w:r>
        <w:rPr/>
        <w:t xml:space="preserve">The entrance sill is less than 13mm</w:t>
      </w:r>
    </w:p>
    <w:p>
      <w:pPr>
        <w:pStyle w:val="ListBullet"/>
        <w:numPr>
          <w:ilvl w:val="0"/>
          <w:numId w:val="35"/>
        </w:numPr>
        <w:spacing/>
        <w:rPr/>
      </w:pPr>
      <w:r>
        <w:rPr/>
        <w:t xml:space="preserve">There a clear space of at least 1500mm x 1500mm in front of all doors.</w:t>
      </w:r>
    </w:p>
    <w:p>
      <w:pPr>
        <w:pStyle w:val="ListBullet"/>
        <w:numPr>
          <w:ilvl w:val="0"/>
          <w:numId w:val="35"/>
        </w:numPr>
        <w:spacing/>
        <w:rPr/>
      </w:pPr>
      <w:r>
        <w:rPr/>
        <w:t xml:space="preserve">The entrance door mats have a thickness less than 13mm and a width of 7500mm or greater</w:t>
      </w:r>
    </w:p>
    <w:p>
      <w:pPr>
        <w:pStyle w:val="ListBullet"/>
        <w:numPr>
          <w:ilvl w:val="0"/>
          <w:numId w:val="35"/>
        </w:numPr>
        <w:spacing/>
        <w:rPr/>
      </w:pPr>
      <w:r>
        <w:rPr/>
        <w:t xml:space="preserve">In addition, the following further information can assist guests:</w:t>
      </w:r>
    </w:p>
    <w:p>
      <w:pPr>
        <w:spacing/>
        <w:rPr/>
      </w:pPr>
      <w:r>
        <w:rPr/>
        <w:t xml:space="preserve">All signs use Sans Serif fonts, however some signage is in all uppercase.&amp;nbsp;</w:t>
      </w:r>
    </w:p>
    <w:p>
      <w:pPr>
        <w:pStyle w:val="ListBullet"/>
        <w:numPr>
          <w:ilvl w:val="0"/>
          <w:numId w:val="35"/>
        </w:numPr>
        <w:spacing/>
        <w:rPr/>
      </w:pPr>
      <w:r>
        <w:rPr/>
        <w:t xml:space="preserve">In addition, the following further information can assist guests:</w:t>
      </w:r>
    </w:p>
    <w:p>
      <w:pPr>
        <w:spacing/>
        <w:rPr/>
      </w:pPr>
      <w:r>
        <w:rPr/>
        <w:t xml:space="preserve">The Visitor Centre is located on the ground floor and does not require a lift, however there is a lift within the building for access to the Art Museum and Cafe.&amp;nbsp;</w:t>
      </w:r>
    </w:p>
    <w:p>
      <w:pPr>
        <w:spacing/>
        <w:rPr/>
      </w:pPr>
      <w:r>
        <w:rPr/>
        <w:t xml:space="preserve"> </w:t>
      </w:r>
    </w:p>
    <w:p>
      <w:pPr>
        <w:pStyle w:val="Heading2"/>
        <w:spacing/>
        <w:rPr/>
      </w:pPr>
      <w:bookmarkStart w:id="17" w:name="_Toc0000000013"/>
      <w:r>
        <w:rPr/>
        <w:t xml:space="preserve">Internal Spaces</w:t>
      </w:r>
      <w:bookmarkEnd w:id="17"/>
    </w:p>
    <w:p>
      <w:pPr>
        <w:pStyle w:val="ListBullet"/>
        <w:numPr>
          <w:ilvl w:val="0"/>
          <w:numId w:val="35"/>
        </w:numPr>
        <w:spacing/>
        <w:rPr/>
      </w:pPr>
      <w:r>
        <w:rPr/>
        <w:t xml:space="preserve">Clear and unobstructed routes through and between buildings</w:t>
      </w:r>
    </w:p>
    <w:p>
      <w:pPr>
        <w:pStyle w:val="ListBullet"/>
        <w:numPr>
          <w:ilvl w:val="0"/>
          <w:numId w:val="35"/>
        </w:numPr>
        <w:spacing/>
        <w:rPr/>
      </w:pPr>
      <w:r>
        <w:rPr/>
        <w:t xml:space="preserve">Interior walls are matte or low sheen</w:t>
      </w:r>
    </w:p>
    <w:p>
      <w:pPr>
        <w:pStyle w:val="ListBullet"/>
        <w:numPr>
          <w:ilvl w:val="0"/>
          <w:numId w:val="35"/>
        </w:numPr>
        <w:spacing/>
        <w:rPr/>
      </w:pPr>
      <w:r>
        <w:rPr/>
        <w:t xml:space="preserve">Floors, walls, counters and furniture are of contrasting colours</w:t>
      </w:r>
    </w:p>
    <w:p>
      <w:pPr>
        <w:pStyle w:val="ListBullet"/>
        <w:numPr>
          <w:ilvl w:val="0"/>
          <w:numId w:val="35"/>
        </w:numPr>
        <w:spacing/>
        <w:rPr/>
      </w:pPr>
      <w:r>
        <w:rPr/>
        <w:t xml:space="preserve">Floor surfaces are hard or short pile carpet</w:t>
      </w:r>
    </w:p>
    <w:p>
      <w:pPr>
        <w:pStyle w:val="ListBullet"/>
        <w:numPr>
          <w:ilvl w:val="0"/>
          <w:numId w:val="35"/>
        </w:numPr>
        <w:spacing/>
        <w:rPr/>
      </w:pPr>
      <w:r>
        <w:rPr/>
        <w:t xml:space="preserve">Seating is available for guests unable to stand for long periods</w:t>
      </w:r>
    </w:p>
    <w:p>
      <w:pPr>
        <w:pStyle w:val="ListBullet"/>
        <w:numPr>
          <w:ilvl w:val="0"/>
          <w:numId w:val="35"/>
        </w:numPr>
        <w:spacing/>
        <w:rPr/>
      </w:pPr>
      <w:r>
        <w:rPr/>
        <w:t xml:space="preserve">Accessible facilities are clearly signed and visible from all areas</w:t>
      </w:r>
    </w:p>
    <w:p>
      <w:pPr>
        <w:pStyle w:val="ListBullet"/>
        <w:numPr>
          <w:ilvl w:val="0"/>
          <w:numId w:val="35"/>
        </w:numPr>
        <w:spacing/>
        <w:rPr/>
      </w:pPr>
      <w:r>
        <w:rPr/>
        <w:t xml:space="preserve">All corridors greater than 900mm</w:t>
      </w:r>
    </w:p>
    <w:p>
      <w:pPr>
        <w:pStyle w:val="ListBullet"/>
        <w:numPr>
          <w:ilvl w:val="0"/>
          <w:numId w:val="35"/>
        </w:numPr>
        <w:spacing/>
        <w:rPr/>
      </w:pPr>
      <w:r>
        <w:rPr/>
        <w:t xml:space="preserve">There is a quiet space for parents and children on the Autism Spectrum</w:t>
      </w:r>
    </w:p>
    <w:p>
      <w:pPr>
        <w:pStyle w:val="ListBullet"/>
        <w:numPr>
          <w:ilvl w:val="0"/>
          <w:numId w:val="35"/>
        </w:numPr>
        <w:spacing/>
        <w:rPr/>
      </w:pPr>
      <w:r>
        <w:rPr/>
        <w:t xml:space="preserve">In addition, the following further information can assist guests:</w:t>
      </w:r>
    </w:p>
    <w:p>
      <w:pPr>
        <w:spacing/>
        <w:rPr/>
      </w:pPr>
      <w:r>
        <w:rPr/>
        <w:t xml:space="preserve">The Centre is its quietest on Tuesdays when the Art Museums and Cafe are closed.If you are looking to avoid busy times, the Centre is its busiest on weekends and lunchtimes. &amp;nbsp;There is a quiet room available within the building in which the Visitor Centre is located.</w:t>
      </w:r>
    </w:p>
    <w:p>
      <w:pPr>
        <w:spacing/>
        <w:rPr/>
      </w:pPr>
      <w:r>
        <w:rPr/>
        <w:t xml:space="preserve"> </w:t>
      </w:r>
    </w:p>
    <w:p>
      <w:pPr>
        <w:pStyle w:val="Heading2"/>
        <w:spacing/>
        <w:rPr/>
      </w:pPr>
      <w:bookmarkStart w:id="18" w:name="_Toc0000000014"/>
      <w:r>
        <w:rPr/>
        <w:t xml:space="preserve">Public areas</w:t>
      </w:r>
      <w:bookmarkEnd w:id="18"/>
    </w:p>
    <w:p>
      <w:pPr>
        <w:spacing/>
        <w:rPr/>
      </w:pPr>
      <w:r>
        <w:rPr/>
        <w:t xml:space="preserve">The public areas have the following amenities  in place</w:t>
      </w:r>
    </w:p>
    <w:p>
      <w:pPr>
        <w:pStyle w:val="ListBullet"/>
        <w:numPr>
          <w:ilvl w:val="0"/>
          <w:numId w:val="35"/>
        </w:numPr>
        <w:spacing/>
        <w:rPr/>
      </w:pPr>
      <w:r>
        <w:rPr/>
        <w:t xml:space="preserve">Display units, Televisions, Video displays etc. are  open captioned</w:t>
      </w:r>
    </w:p>
    <w:p>
      <w:pPr>
        <w:pStyle w:val="ListBullet"/>
        <w:numPr>
          <w:ilvl w:val="0"/>
          <w:numId w:val="35"/>
        </w:numPr>
        <w:spacing/>
        <w:rPr/>
      </w:pPr>
      <w:r>
        <w:rPr/>
        <w:t xml:space="preserve">Hearing loops</w:t>
      </w:r>
    </w:p>
    <w:p>
      <w:pPr>
        <w:pStyle w:val="ListBullet"/>
        <w:numPr>
          <w:ilvl w:val="0"/>
          <w:numId w:val="35"/>
        </w:numPr>
        <w:spacing/>
        <w:rPr/>
      </w:pPr>
      <w:r>
        <w:rPr/>
        <w:t xml:space="preserve">Hearing loop symbols are displayed</w:t>
      </w:r>
    </w:p>
    <w:p>
      <w:pPr>
        <w:pStyle w:val="ListBullet"/>
        <w:numPr>
          <w:ilvl w:val="0"/>
          <w:numId w:val="35"/>
        </w:numPr>
        <w:spacing/>
        <w:rPr/>
      </w:pPr>
      <w:r>
        <w:rPr/>
        <w:t xml:space="preserve">Even lighting</w:t>
      </w:r>
    </w:p>
    <w:p>
      <w:pPr>
        <w:pStyle w:val="ListBullet"/>
        <w:numPr>
          <w:ilvl w:val="0"/>
          <w:numId w:val="35"/>
        </w:numPr>
        <w:spacing/>
        <w:rPr/>
      </w:pPr>
      <w:r>
        <w:rPr/>
        <w:t xml:space="preserve">Seating</w:t>
      </w:r>
    </w:p>
    <w:p>
      <w:pPr>
        <w:pStyle w:val="ListBullet"/>
        <w:numPr>
          <w:ilvl w:val="0"/>
          <w:numId w:val="35"/>
        </w:numPr>
        <w:spacing/>
        <w:rPr/>
      </w:pPr>
      <w:r>
        <w:rPr/>
        <w:t xml:space="preserve">In addition, the following further information can assist guests:</w:t>
      </w:r>
    </w:p>
    <w:p>
      <w:pPr>
        <w:spacing/>
        <w:rPr/>
      </w:pPr>
      <w:r>
        <w:rPr/>
        <w:t xml:space="preserve">Two couches, and additional seating is provided inside the light, bright, open visitor centre.&amp;nbsp;</w:t>
      </w:r>
    </w:p>
    <w:p>
      <w:pPr>
        <w:spacing/>
        <w:rPr/>
      </w:pPr>
      <w:r>
        <w:rPr/>
        <w:t xml:space="preserve"> </w:t>
      </w:r>
    </w:p>
    <w:p>
      <w:pPr>
        <w:pStyle w:val="Heading2"/>
        <w:spacing/>
        <w:rPr/>
      </w:pPr>
      <w:bookmarkStart w:id="19" w:name="_Toc0000000015"/>
      <w:r>
        <w:rPr/>
        <w:t xml:space="preserve">External Paths</w:t>
      </w:r>
      <w:bookmarkEnd w:id="19"/>
    </w:p>
    <w:p>
      <w:pPr>
        <w:spacing/>
        <w:rPr/>
      </w:pPr>
      <w:r>
        <w:rPr/>
        <w:t xml:space="preserve">External paths of travel</w:t>
      </w:r>
    </w:p>
    <w:p>
      <w:pPr>
        <w:pStyle w:val="ListBullet"/>
        <w:numPr>
          <w:ilvl w:val="0"/>
          <w:numId w:val="35"/>
        </w:numPr>
        <w:spacing/>
        <w:rPr/>
      </w:pPr>
      <w:r>
        <w:rPr/>
        <w:t xml:space="preserve">Surfaces are concrete, asphalt, smooth paving or hard packed fine gravel (max aggregate size 13mm)</w:t>
      </w:r>
    </w:p>
    <w:p>
      <w:pPr>
        <w:pStyle w:val="ListBullet"/>
        <w:numPr>
          <w:ilvl w:val="0"/>
          <w:numId w:val="35"/>
        </w:numPr>
        <w:spacing/>
        <w:rPr/>
      </w:pPr>
      <w:r>
        <w:rPr/>
        <w:t xml:space="preserve">Pathways are wider than 900mm</w:t>
      </w:r>
    </w:p>
    <w:p>
      <w:pPr>
        <w:pStyle w:val="ListBullet"/>
        <w:numPr>
          <w:ilvl w:val="0"/>
          <w:numId w:val="35"/>
        </w:numPr>
        <w:spacing/>
        <w:rPr/>
      </w:pPr>
      <w:r>
        <w:rPr/>
        <w:t xml:space="preserve">There 3 successive steps or less on any path or at any doorway</w:t>
      </w:r>
    </w:p>
    <w:p>
      <w:pPr>
        <w:spacing/>
        <w:rPr/>
      </w:pPr>
    </w:p>
    <w:p>
      <w:pPr>
        <w:pBdr/>
        <w:spacing/>
        <w:rPr/>
      </w:pPr>
      <w:r>
        <w:rPr/>
        <w:t xml:space="preserve">There aren't any paths with steps around the Visitor Centre</w:t>
      </w:r>
    </w:p>
    <w:p>
      <w:pPr>
        <w:spacing/>
        <w:rPr/>
      </w:pPr>
      <w:r>
        <w:rPr/>
        <w:t xml:space="preserve"> </w:t>
      </w:r>
    </w:p>
    <w:p>
      <w:pPr>
        <w:pStyle w:val="Heading2"/>
        <w:spacing/>
        <w:rPr/>
      </w:pPr>
      <w:bookmarkStart w:id="20" w:name="_Toc0000000016"/>
      <w:r>
        <w:rPr/>
        <w:t xml:space="preserve">Public Toilets/Adult change facilities</w:t>
      </w:r>
      <w:bookmarkEnd w:id="20"/>
    </w:p>
    <w:p>
      <w:pPr>
        <w:spacing/>
        <w:rPr/>
      </w:pPr>
      <w:r>
        <w:rPr/>
        <w:t xml:space="preserve">Public Toilets/Adult change facilities have the following amenities are in place</w:t>
      </w:r>
    </w:p>
    <w:p>
      <w:pPr>
        <w:pStyle w:val="ListBullet"/>
        <w:numPr>
          <w:ilvl w:val="0"/>
          <w:numId w:val="35"/>
        </w:numPr>
        <w:spacing/>
        <w:rPr/>
      </w:pPr>
      <w:r>
        <w:rPr/>
        <w:t xml:space="preserve">There is an accessible toilet for public use</w:t>
      </w:r>
    </w:p>
    <w:p>
      <w:pPr>
        <w:pStyle w:val="ListBullet"/>
        <w:numPr>
          <w:ilvl w:val="0"/>
          <w:numId w:val="35"/>
        </w:numPr>
        <w:spacing/>
        <w:rPr/>
      </w:pPr>
      <w:r>
        <w:rPr/>
        <w:t xml:space="preserve">The door is at least 850mm wide</w:t>
      </w:r>
    </w:p>
    <w:p>
      <w:pPr>
        <w:pStyle w:val="ListBullet"/>
        <w:numPr>
          <w:ilvl w:val="0"/>
          <w:numId w:val="35"/>
        </w:numPr>
        <w:spacing/>
        <w:rPr/>
      </w:pPr>
      <w:r>
        <w:rPr/>
        <w:t xml:space="preserve">There is a minimum of 850mm beside the toilet</w:t>
      </w:r>
    </w:p>
    <w:p>
      <w:pPr>
        <w:pStyle w:val="ListBullet"/>
        <w:numPr>
          <w:ilvl w:val="0"/>
          <w:numId w:val="35"/>
        </w:numPr>
        <w:spacing/>
        <w:rPr/>
      </w:pPr>
      <w:r>
        <w:rPr/>
        <w:t xml:space="preserve">Handrails are fitted</w:t>
      </w:r>
    </w:p>
    <w:p>
      <w:pPr>
        <w:pStyle w:val="ListBullet"/>
        <w:numPr>
          <w:ilvl w:val="0"/>
          <w:numId w:val="35"/>
        </w:numPr>
        <w:spacing/>
        <w:rPr/>
      </w:pPr>
      <w:r>
        <w:rPr/>
        <w:t xml:space="preserve">The toilet seat is 460mm above the floor</w:t>
      </w:r>
    </w:p>
    <w:p>
      <w:pPr>
        <w:pStyle w:val="ListBullet"/>
        <w:numPr>
          <w:ilvl w:val="0"/>
          <w:numId w:val="35"/>
        </w:numPr>
        <w:spacing/>
        <w:rPr/>
      </w:pPr>
      <w:r>
        <w:rPr/>
        <w:t xml:space="preserve">The toilet seat of a contrasting colour to the floor</w:t>
      </w:r>
    </w:p>
    <w:p>
      <w:pPr>
        <w:pStyle w:val="ListBullet"/>
        <w:numPr>
          <w:ilvl w:val="0"/>
          <w:numId w:val="35"/>
        </w:numPr>
        <w:spacing/>
        <w:rPr/>
      </w:pPr>
      <w:r>
        <w:rPr/>
        <w:t xml:space="preserve">The toilet seat is460mm above the floor</w:t>
      </w:r>
    </w:p>
    <w:p>
      <w:pPr>
        <w:pStyle w:val="ListBullet"/>
        <w:numPr>
          <w:ilvl w:val="0"/>
          <w:numId w:val="35"/>
        </w:numPr>
        <w:spacing/>
        <w:rPr/>
      </w:pPr>
      <w:r>
        <w:rPr/>
        <w:t xml:space="preserve">There is a registered changing places facility</w:t>
      </w:r>
    </w:p>
    <w:p>
      <w:pPr>
        <w:pStyle w:val="ListBullet"/>
        <w:numPr>
          <w:ilvl w:val="0"/>
          <w:numId w:val="35"/>
        </w:numPr>
        <w:spacing/>
        <w:rPr/>
      </w:pPr>
      <w:r>
        <w:rPr/>
        <w:t xml:space="preserve">There is a 'Changing Place' within 35 metres of our business</w:t>
      </w:r>
    </w:p>
    <w:p>
      <w:pPr>
        <w:pStyle w:val="ListBullet"/>
        <w:numPr>
          <w:ilvl w:val="0"/>
          <w:numId w:val="35"/>
        </w:numPr>
        <w:spacing/>
        <w:rPr/>
      </w:pPr>
      <w:r>
        <w:rPr/>
        <w:t xml:space="preserve">In addition, the following further information can assist guests:</w:t>
      </w:r>
    </w:p>
    <w:p>
      <w:pPr>
        <w:spacing/>
        <w:rPr/>
      </w:pPr>
      <w:r>
        <w:rPr/>
        <w:t xml:space="preserve">The Visitor Centre has a MLAK key for access to the changing places facility.</w:t>
      </w:r>
    </w:p>
    <w:p>
      <w:pPr>
        <w:pStyle w:val="Heading1"/>
        <w:spacing/>
        <w:rPr/>
        <w:sectPr>
          <w:type w:val="nextPage"/>
          <w:pgSz w:w="11906" w:h="16838"/>
          <w:pgMar w:top="1440" w:right="1440" w:bottom="1440" w:left="1440" w:header="708" w:footer="708" w:gutter="0"/>
          <w:pgBorders/>
          <w:pgNumType w:fmt="decimal"/>
          <w:cols w:num="1" w:equalWidth="1" w:space="708"/>
          <w:docGrid w:linePitch="360"/>
        </w:sectPr>
      </w:pPr>
      <w:bookmarkStart w:id="21" w:name="_Toc0000000017"/>
      <w:r>
        <w:rPr/>
        <w:t xml:space="preserve">COMMON AREAS</w:t>
      </w:r>
      <w:bookmarkEnd w:id="21"/>
    </w:p>
    <w:p w14:paraId="0EA74407">
      <w:pPr>
        <w:spacing w:before="120" w:line="256" w:lineRule="auto"/>
        <w:rPr>
          <w:rFonts w:cs="Times New Roman"/>
          <w:b/>
          <w:sz w:val="20"/>
        </w:rPr>
        <w:sectPr>
          <w:type w:val="nextPage"/>
          <w:pgSz w:w="11906" w:h="16838"/>
          <w:pgMar w:top="1440" w:right="1440" w:bottom="1440" w:left="1440" w:header="708" w:footer="708" w:gutter="0"/>
          <w:pgBorders/>
          <w:pgNumType w:fmt="decimal"/>
          <w:cols w:num="1" w:equalWidth="1" w:space="708"/>
          <w:docGrid w:linePitch="360"/>
        </w:sectPr>
      </w:pPr>
    </w:p>
    <w:p w14:paraId="7E6F98B6">
      <w:pPr>
        <w:pStyle w:val="Heading2"/>
        <w:spacing/>
        <w:rPr>
          <w:rFonts w:eastAsia="Calibri"/>
        </w:rPr>
      </w:pPr>
      <w:bookmarkStart w:id="22" w:name="_Toc0000000018"/>
      <w:r>
        <w:rPr/>
        <w:t xml:space="preserve">Report Disclaimer</w:t>
      </w:r>
      <w:bookmarkEnd w:id="22"/>
    </w:p>
    <w:p w14:paraId="1A4274CE">
      <w:pPr>
        <w:spacing w:before="120" w:line="256" w:lineRule="auto"/>
        <w:rPr>
          <w:rFonts w:cs="Times New Roman"/>
          <w:sz w:val="20"/>
        </w:rPr>
      </w:pPr>
      <w:r>
        <w:rPr>
          <w:rFonts w:cs="Times New Roman"/>
          <w:sz w:val="20"/>
        </w:rPr>
        <w:t xml:space="preserve">Please note that this business report, provided </w:t>
      </w:r>
      <w:r>
        <w:rPr>
          <w:rFonts w:cs="Times New Roman"/>
          <w:sz w:val="20"/>
        </w:rPr>
        <w:t xml:space="preserve">as a result of</w:t>
      </w:r>
      <w:r>
        <w:rPr>
          <w:rFonts w:cs="Times New Roman"/>
          <w:sz w:val="20"/>
        </w:rPr>
        <w:t xml:space="preserve"> the use of the diagnostic assessment, is for information purposes only. </w:t>
      </w:r>
    </w:p>
    <w:p w14:paraId="0287D1E4">
      <w:pPr>
        <w:spacing w:before="120" w:line="256" w:lineRule="auto"/>
        <w:rPr>
          <w:rFonts w:cs="Times New Roman"/>
          <w:sz w:val="20"/>
        </w:rPr>
      </w:pPr>
      <w:r>
        <w:rPr>
          <w:rFonts w:cs="Times New Roman"/>
          <w:sz w:val="20"/>
        </w:rPr>
        <w:t xml:space="preserve">Australian Tourism Industry Council (ATIC) cannot guarantee the accuracy of respondent’s answers, or that they are fully representative of your business. Therefore, ATIC does not warrant or guarantee any particular outcome in respect of your businesses self-assessment.  </w:t>
      </w:r>
    </w:p>
    <w:p w14:paraId="2F8BBD25">
      <w:pPr>
        <w:spacing w:before="120" w:line="256" w:lineRule="auto"/>
        <w:rPr>
          <w:rFonts w:cs="Times New Roman"/>
          <w:sz w:val="20"/>
        </w:rPr>
      </w:pPr>
      <w:r>
        <w:rPr>
          <w:rFonts w:cs="Times New Roman"/>
          <w:sz w:val="20"/>
        </w:rPr>
        <w:t xml:space="preserve">This report is intended as guidance only for your business and should not be relied on for future marketing considerations. </w:t>
      </w:r>
      <w:r>
        <w:rPr>
          <w:rFonts w:cs="Times New Roman"/>
        </w:rPr>
        <w:t xml:space="preserve">ATIC </w:t>
      </w:r>
      <w:r>
        <w:rPr>
          <w:rFonts w:cs="Times New Roman"/>
          <w:sz w:val="20"/>
        </w:rPr>
        <w:t xml:space="preserve">recommends that you seek your own independent advice as well as the results from the diagnostic.</w:t>
      </w:r>
    </w:p>
    <w:p w14:paraId="1EE3F974">
      <w:pPr>
        <w:spacing w:before="120" w:line="256" w:lineRule="auto"/>
        <w:rPr>
          <w:rFonts w:cs="Times New Roman"/>
          <w:sz w:val="20"/>
        </w:rPr>
      </w:pPr>
      <w:r>
        <w:rPr>
          <w:rFonts w:cs="Times New Roman"/>
          <w:sz w:val="20"/>
        </w:rPr>
        <w:t xml:space="preserve">Links to external web sites are inserted for convenience and do not constitute endorsement of material at those sites, or any associated organisation, </w:t>
      </w:r>
      <w:r>
        <w:rPr>
          <w:rFonts w:cs="Times New Roman"/>
          <w:sz w:val="20"/>
        </w:rPr>
        <w:t xml:space="preserve">product</w:t>
      </w:r>
      <w:r>
        <w:rPr>
          <w:rFonts w:cs="Times New Roman"/>
          <w:sz w:val="20"/>
        </w:rPr>
        <w:t xml:space="preserve"> or service. </w:t>
      </w:r>
    </w:p>
    <w:p w14:paraId="2AE5ACC9">
      <w:pPr>
        <w:spacing w:before="120" w:line="256" w:lineRule="auto"/>
        <w:rPr>
          <w:rFonts w:cs="Times New Roman"/>
          <w:sz w:val="20"/>
        </w:rPr>
      </w:pPr>
      <w:r>
        <w:rPr>
          <w:rFonts w:cs="Times New Roman"/>
          <w:sz w:val="20"/>
        </w:rPr>
        <w:t xml:space="preserve">ATIC does not:</w:t>
      </w:r>
    </w:p>
    <w:p w14:paraId="48226619">
      <w:pPr>
        <w:numPr>
          <w:ilvl w:val="0"/>
          <w:numId w:val="36"/>
        </w:numPr>
        <w:spacing w:before="120" w:line="256" w:lineRule="auto"/>
        <w:contextualSpacing/>
        <w:rPr>
          <w:rFonts w:cs="Times New Roman"/>
          <w:sz w:val="20"/>
        </w:rPr>
      </w:pPr>
      <w:r>
        <w:rPr>
          <w:rFonts w:cs="Times New Roman"/>
          <w:sz w:val="20"/>
        </w:rPr>
        <w:t xml:space="preserve">Assume any legal liability for the accuracy, completeness, or usefulness of any information from this report or any links provided; or</w:t>
      </w:r>
    </w:p>
    <w:p w14:paraId="6AB3A712">
      <w:pPr>
        <w:numPr>
          <w:ilvl w:val="0"/>
          <w:numId w:val="36"/>
        </w:numPr>
        <w:spacing w:before="120" w:line="256" w:lineRule="auto"/>
        <w:contextualSpacing/>
        <w:rPr>
          <w:rFonts w:cs="Times New Roman"/>
          <w:sz w:val="20"/>
        </w:rPr>
      </w:pPr>
      <w:r>
        <w:rPr>
          <w:rFonts w:cs="Times New Roman"/>
          <w:sz w:val="20"/>
        </w:rPr>
        <w:t xml:space="preserve">Accept responsibility for any loss associated directly or indirectly from the use of this </w:t>
      </w:r>
      <w:r>
        <w:rPr>
          <w:rFonts w:cs="Times New Roman"/>
          <w:sz w:val="20"/>
        </w:rPr>
        <w:t xml:space="preserve">report.</w:t>
      </w:r>
      <w:r>
        <w:rPr>
          <w:rFonts w:cs="Times New Roman"/>
          <w:sz w:val="20"/>
        </w:rPr>
        <w:t xml:space="preserve"> </w:t>
      </w:r>
    </w:p>
    <w:sectPr>
      <w:type w:val="nextPage"/>
      <w:pgSz w:w="11906" w:h="16838"/>
      <w:pgMar w:top="1440" w:right="1440" w:bottom="1440" w:left="1440"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Courier New">
    <w:charset w:val="0"/>
    <w:family w:val="modern"/>
    <w:pitch w:val="fixed"/>
    <w:sig w:usb0="E0002EFF" w:usb1="C0007843" w:usb2="00000009" w:usb3="00000000" w:csb0="000001FF" w:csb1="00000000"/>
  </w:font>
  <w:font w:name="Calibri">
    <w:charset w:val="0"/>
    <w:family w:val="swiss"/>
    <w:pitch w:val="variable"/>
    <w:sig w:usb0="E4002EFF" w:usb1="C200247B" w:usb2="00000009" w:usb3="00000000" w:csb0="000001FF" w:csb1="00000000"/>
  </w:font>
  <w:font w:name="Calibri Light">
    <w:charset w:val="0"/>
    <w:family w:val="swiss"/>
    <w:pitch w:val="variable"/>
    <w:sig w:usb0="E4002EFF" w:usb1="C200247B" w:usb2="00000009" w:usb3="00000000" w:csb0="000001FF" w:csb1="00000000"/>
  </w:font>
  <w:font w:name="Franklin Gothic Medium">
    <w:charset w:val="0"/>
    <w:family w:val="swiss"/>
    <w:pitch w:val="variable"/>
    <w:sig w:usb0="00000287" w:usb1="00000000" w:usb2="00000000" w:usb3="00000000" w:csb0="0000009F" w:csb1="00000000"/>
  </w:font>
  <w:font w:name="Segoe UI">
    <w:charset w:val="0"/>
    <w:family w:val="swiss"/>
    <w:pitch w:val="variable"/>
    <w:sig w:usb0="E4002EFF" w:usb1="C000E47F"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sdt>
    <w:sdtPr>
      <w:rPr/>
      <w:id w:val="-2045904016"/>
      <w:docPartObj>
        <w:docPartGallery w:val="Page Numbers (Bottom of Page)"/>
        <w:docPartUnique/>
      </w:docPartObj>
    </w:sdtPr>
    <w:sdtEndPr>
      <w:rPr>
        <w:spacing w:val="60"/>
      </w:rPr>
    </w:sdtEndPr>
    <w:sdtContent>
      <w:p w14:paraId="33A3D820">
        <w:pPr>
          <w:pStyle w:val="Footer"/>
          <w:pBdr>
            <w:top w:val="single" w:color="D9D9D9" w:sz="4" w:space="1"/>
          </w:pBdr>
          <w:spacing/>
          <w:jc w:val="right"/>
          <w:rPr>
            <w:b/>
            <w:bCs/>
          </w:rPr>
        </w:pPr>
        <w:r>
          <w:rPr/>
          <w:fldChar w:fldCharType="begin"/>
        </w:r>
        <w:r>
          <w:rPr/>
          <w:instrText xml:space="preserve">PAGE   \* MERGEFORMAT</w:instrText>
        </w:r>
        <w:r>
          <w:rPr/>
          <w:fldChar w:fldCharType="separate"/>
        </w:r>
        <w:r>
          <w:rPr/>
          <w:t xml:space="preserve">1</w:t>
        </w:r>
        <w:r>
          <w:rPr/>
          <w:fldChar w:fldCharType="end"/>
        </w:r>
        <w:r>
          <w:rPr>
            <w:b/>
            <w:bCs/>
          </w:rPr>
          <w:t xml:space="preserve"> | </w:t>
        </w:r>
        <w:r>
          <w:rPr>
            <w:spacing w:val="60"/>
          </w:rPr>
          <w:t xml:space="preserve">Page</w:t>
        </w:r>
      </w:p>
    </w:sdtContent>
  </w:sdt>
  <w:p w14:paraId="645270CF">
    <w:pPr>
      <w:pStyle w:val="Footer"/>
      <w:spacing/>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lvl w:ilvl="0">
      <w:start w:val="1"/>
      <w:numFmt w:val="decimal"/>
      <w:suff w:val="tab"/>
      <w:lvlText w:val="%1."/>
      <w:pPr>
        <w:tabs>
          <w:tab w:val="num" w:pos="1492"/>
        </w:tabs>
        <w:spacing/>
        <w:ind w:left="1492"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
    <w:nsid w:val="FFFFFF7D"/>
    <w:lvl w:ilvl="0">
      <w:start w:val="1"/>
      <w:numFmt w:val="decimal"/>
      <w:suff w:val="tab"/>
      <w:lvlText w:val="%1."/>
      <w:pPr>
        <w:tabs>
          <w:tab w:val="num" w:pos="1209"/>
        </w:tabs>
        <w:spacing/>
        <w:ind w:left="1209"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2">
    <w:nsid w:val="FFFFFF7E"/>
    <w:lvl w:ilvl="0">
      <w:start w:val="1"/>
      <w:numFmt w:val="decimal"/>
      <w:suff w:val="tab"/>
      <w:lvlText w:val="%1."/>
      <w:pPr>
        <w:tabs>
          <w:tab w:val="num" w:pos="926"/>
        </w:tabs>
        <w:spacing/>
        <w:ind w:left="926"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3">
    <w:nsid w:val="FFFFFF7F"/>
    <w:lvl w:ilvl="0">
      <w:start w:val="1"/>
      <w:numFmt w:val="decimal"/>
      <w:suff w:val="tab"/>
      <w:lvlText w:val="%1."/>
      <w:pPr>
        <w:tabs>
          <w:tab w:val="num" w:pos="643"/>
        </w:tabs>
        <w:spacing/>
        <w:ind w:left="643"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4">
    <w:nsid w:val="FFFFFF80"/>
    <w:lvl w:ilvl="0">
      <w:start w:val="1"/>
      <w:numFmt w:val="bullet"/>
      <w:suff w:val="tab"/>
      <w:lvlText w:val=""/>
      <w:pPr>
        <w:tabs>
          <w:tab w:val="num" w:pos="1492"/>
        </w:tabs>
        <w:spacing/>
        <w:ind w:left="1492"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5">
    <w:nsid w:val="FFFFFF81"/>
    <w:lvl w:ilvl="0">
      <w:start w:val="1"/>
      <w:numFmt w:val="bullet"/>
      <w:suff w:val="tab"/>
      <w:lvlText w:val=""/>
      <w:pPr>
        <w:tabs>
          <w:tab w:val="num" w:pos="1209"/>
        </w:tabs>
        <w:spacing/>
        <w:ind w:left="1209"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6">
    <w:nsid w:val="FFFFFF82"/>
    <w:lvl w:ilvl="0">
      <w:start w:val="1"/>
      <w:numFmt w:val="bullet"/>
      <w:suff w:val="tab"/>
      <w:lvlText w:val=""/>
      <w:pPr>
        <w:tabs>
          <w:tab w:val="num" w:pos="926"/>
        </w:tabs>
        <w:spacing/>
        <w:ind w:left="926"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7">
    <w:nsid w:val="FFFFFF83"/>
    <w:lvl w:ilvl="0">
      <w:start w:val="1"/>
      <w:numFmt w:val="bullet"/>
      <w:pStyle w:val="ListBullet2"/>
      <w:suff w:val="tab"/>
      <w:lvlText w:val=""/>
      <w:pPr>
        <w:spacing/>
        <w:ind w:left="643"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8">
    <w:nsid w:val="FFFFFF88"/>
    <w:lvl w:ilvl="0">
      <w:start w:val="1"/>
      <w:numFmt w:val="decimal"/>
      <w:suff w:val="tab"/>
      <w:lvlText w:val="%1."/>
      <w:pPr>
        <w:tabs>
          <w:tab w:val="num" w:pos="360"/>
        </w:tabs>
        <w:spacing/>
        <w:ind w:left="360"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9">
    <w:nsid w:val="FFFFFF89"/>
    <w:lvl w:ilvl="0">
      <w:start w:val="1"/>
      <w:numFmt w:val="bullet"/>
      <w:pStyle w:val="ListBullet"/>
      <w:suff w:val="tab"/>
      <w:lvlText w:val=""/>
      <w:pPr>
        <w:spacing/>
        <w:ind w:left="360"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0">
    <w:nsid w:val="02BD4422"/>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1">
    <w:nsid w:val="063B23FC"/>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2">
    <w:nsid w:val="0C4F5186"/>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3">
    <w:nsid w:val="0CAF396B"/>
    <w:lvl w:ilvl="0">
      <w:start w:val="1"/>
      <w:numFmt w:val="bullet"/>
      <w:suff w:val="tab"/>
      <w:lvlText w:val=""/>
      <w:pPr>
        <w:spacing/>
        <w:ind w:left="1501" w:hanging="360"/>
      </w:pPr>
      <w:rPr>
        <w:rFonts w:ascii="Symbol" w:hAnsi="Symbol" w:hint="default"/>
      </w:rPr>
    </w:lvl>
    <w:lvl w:ilvl="1">
      <w:start w:val="1"/>
      <w:numFmt w:val="bullet"/>
      <w:suff w:val="tab"/>
      <w:lvlText w:val="o"/>
      <w:pPr>
        <w:spacing/>
        <w:ind w:left="2221" w:hanging="360"/>
      </w:pPr>
      <w:rPr>
        <w:rFonts w:ascii="Courier New" w:hAnsi="Courier New" w:cs="Courier New" w:hint="default"/>
      </w:rPr>
    </w:lvl>
    <w:lvl w:ilvl="2">
      <w:start w:val="1"/>
      <w:numFmt w:val="bullet"/>
      <w:suff w:val="tab"/>
      <w:lvlText w:val=""/>
      <w:pPr>
        <w:spacing/>
        <w:ind w:left="2941" w:hanging="360"/>
      </w:pPr>
      <w:rPr>
        <w:rFonts w:ascii="Wingdings" w:hAnsi="Wingdings" w:hint="default"/>
      </w:rPr>
    </w:lvl>
    <w:lvl w:ilvl="3">
      <w:start w:val="1"/>
      <w:numFmt w:val="bullet"/>
      <w:suff w:val="tab"/>
      <w:lvlText w:val=""/>
      <w:pPr>
        <w:spacing/>
        <w:ind w:left="3661" w:hanging="360"/>
      </w:pPr>
      <w:rPr>
        <w:rFonts w:ascii="Symbol" w:hAnsi="Symbol" w:hint="default"/>
      </w:rPr>
    </w:lvl>
    <w:lvl w:ilvl="4">
      <w:start w:val="1"/>
      <w:numFmt w:val="bullet"/>
      <w:suff w:val="tab"/>
      <w:lvlText w:val="o"/>
      <w:pPr>
        <w:spacing/>
        <w:ind w:left="4381" w:hanging="360"/>
      </w:pPr>
      <w:rPr>
        <w:rFonts w:ascii="Courier New" w:hAnsi="Courier New" w:cs="Courier New" w:hint="default"/>
      </w:rPr>
    </w:lvl>
    <w:lvl w:ilvl="5">
      <w:start w:val="1"/>
      <w:numFmt w:val="bullet"/>
      <w:suff w:val="tab"/>
      <w:lvlText w:val=""/>
      <w:pPr>
        <w:spacing/>
        <w:ind w:left="5101" w:hanging="360"/>
      </w:pPr>
      <w:rPr>
        <w:rFonts w:ascii="Wingdings" w:hAnsi="Wingdings" w:hint="default"/>
      </w:rPr>
    </w:lvl>
    <w:lvl w:ilvl="6">
      <w:start w:val="1"/>
      <w:numFmt w:val="bullet"/>
      <w:suff w:val="tab"/>
      <w:lvlText w:val=""/>
      <w:pPr>
        <w:spacing/>
        <w:ind w:left="5821" w:hanging="360"/>
      </w:pPr>
      <w:rPr>
        <w:rFonts w:ascii="Symbol" w:hAnsi="Symbol" w:hint="default"/>
      </w:rPr>
    </w:lvl>
    <w:lvl w:ilvl="7">
      <w:start w:val="1"/>
      <w:numFmt w:val="bullet"/>
      <w:suff w:val="tab"/>
      <w:lvlText w:val="o"/>
      <w:pPr>
        <w:spacing/>
        <w:ind w:left="6541" w:hanging="360"/>
      </w:pPr>
      <w:rPr>
        <w:rFonts w:ascii="Courier New" w:hAnsi="Courier New" w:cs="Courier New" w:hint="default"/>
      </w:rPr>
    </w:lvl>
    <w:lvl w:ilvl="8">
      <w:start w:val="1"/>
      <w:numFmt w:val="bullet"/>
      <w:suff w:val="tab"/>
      <w:lvlText w:val=""/>
      <w:pPr>
        <w:spacing/>
        <w:ind w:left="7261" w:hanging="360"/>
      </w:pPr>
      <w:rPr>
        <w:rFonts w:ascii="Wingdings" w:hAnsi="Wingdings" w:hint="default"/>
      </w:rPr>
    </w:lvl>
  </w:abstractNum>
  <w:abstractNum w:abstractNumId="14">
    <w:nsid w:val="0DAC2B5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5">
    <w:nsid w:val="0F042E0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6">
    <w:nsid w:val="13B77F80"/>
    <w:lvl w:ilvl="0">
      <w:start w:val="1"/>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17">
    <w:nsid w:val="171D666F"/>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8">
    <w:nsid w:val="1B1663A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9">
    <w:nsid w:val="1F6172C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0">
    <w:nsid w:val="38B065EE"/>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1">
    <w:nsid w:val="3B46224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2">
    <w:nsid w:val="3F8177AC"/>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3">
    <w:nsid w:val="423E777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4">
    <w:nsid w:val="44EC4338"/>
    <w:lvl w:ilvl="0">
      <w:start w:val="1"/>
      <w:numFmt w:val="bullet"/>
      <w:pStyle w:val="List5"/>
      <w:suff w:val="tab"/>
      <w:lvlText w:val=""/>
      <w:pPr>
        <w:spacing/>
        <w:ind w:left="1852" w:hanging="360"/>
      </w:pPr>
      <w:rPr>
        <w:rFonts w:ascii="Wingdings" w:hAnsi="Wingdings" w:hint="default"/>
      </w:rPr>
    </w:lvl>
    <w:lvl w:ilvl="1">
      <w:start w:val="1"/>
      <w:numFmt w:val="bullet"/>
      <w:suff w:val="tab"/>
      <w:lvlText w:val="o"/>
      <w:pPr>
        <w:spacing/>
        <w:ind w:left="2572" w:hanging="360"/>
      </w:pPr>
      <w:rPr>
        <w:rFonts w:ascii="Courier New" w:hAnsi="Courier New" w:cs="Courier New" w:hint="default"/>
      </w:rPr>
    </w:lvl>
    <w:lvl w:ilvl="2">
      <w:start w:val="1"/>
      <w:numFmt w:val="bullet"/>
      <w:suff w:val="tab"/>
      <w:lvlText w:val=""/>
      <w:pPr>
        <w:spacing/>
        <w:ind w:left="3292" w:hanging="360"/>
      </w:pPr>
      <w:rPr>
        <w:rFonts w:ascii="Wingdings" w:hAnsi="Wingdings" w:hint="default"/>
      </w:rPr>
    </w:lvl>
    <w:lvl w:ilvl="3">
      <w:start w:val="1"/>
      <w:numFmt w:val="bullet"/>
      <w:suff w:val="tab"/>
      <w:lvlText w:val=""/>
      <w:pPr>
        <w:spacing/>
        <w:ind w:left="4012" w:hanging="360"/>
      </w:pPr>
      <w:rPr>
        <w:rFonts w:ascii="Symbol" w:hAnsi="Symbol" w:hint="default"/>
      </w:rPr>
    </w:lvl>
    <w:lvl w:ilvl="4">
      <w:start w:val="1"/>
      <w:numFmt w:val="bullet"/>
      <w:suff w:val="tab"/>
      <w:lvlText w:val="o"/>
      <w:pPr>
        <w:spacing/>
        <w:ind w:left="4732" w:hanging="360"/>
      </w:pPr>
      <w:rPr>
        <w:rFonts w:ascii="Courier New" w:hAnsi="Courier New" w:cs="Courier New" w:hint="default"/>
      </w:rPr>
    </w:lvl>
    <w:lvl w:ilvl="5">
      <w:start w:val="1"/>
      <w:numFmt w:val="bullet"/>
      <w:suff w:val="tab"/>
      <w:lvlText w:val=""/>
      <w:pPr>
        <w:spacing/>
        <w:ind w:left="5452" w:hanging="360"/>
      </w:pPr>
      <w:rPr>
        <w:rFonts w:ascii="Wingdings" w:hAnsi="Wingdings" w:hint="default"/>
      </w:rPr>
    </w:lvl>
    <w:lvl w:ilvl="6">
      <w:start w:val="1"/>
      <w:numFmt w:val="bullet"/>
      <w:suff w:val="tab"/>
      <w:lvlText w:val=""/>
      <w:pPr>
        <w:spacing/>
        <w:ind w:left="6172" w:hanging="360"/>
      </w:pPr>
      <w:rPr>
        <w:rFonts w:ascii="Symbol" w:hAnsi="Symbol" w:hint="default"/>
      </w:rPr>
    </w:lvl>
    <w:lvl w:ilvl="7">
      <w:start w:val="1"/>
      <w:numFmt w:val="bullet"/>
      <w:suff w:val="tab"/>
      <w:lvlText w:val="o"/>
      <w:pPr>
        <w:spacing/>
        <w:ind w:left="6892" w:hanging="360"/>
      </w:pPr>
      <w:rPr>
        <w:rFonts w:ascii="Courier New" w:hAnsi="Courier New" w:cs="Courier New" w:hint="default"/>
      </w:rPr>
    </w:lvl>
    <w:lvl w:ilvl="8">
      <w:start w:val="1"/>
      <w:numFmt w:val="bullet"/>
      <w:suff w:val="tab"/>
      <w:lvlText w:val=""/>
      <w:pPr>
        <w:spacing/>
        <w:ind w:left="7612" w:hanging="360"/>
      </w:pPr>
      <w:rPr>
        <w:rFonts w:ascii="Wingdings" w:hAnsi="Wingdings" w:hint="default"/>
      </w:rPr>
    </w:lvl>
  </w:abstractNum>
  <w:abstractNum w:abstractNumId="25">
    <w:nsid w:val="4BDD131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6">
    <w:nsid w:val="61A37421"/>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7">
    <w:nsid w:val="667F578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8">
    <w:nsid w:val="679F1D1C"/>
    <w:lvl w:ilvl="0">
      <w:start w:val="1"/>
      <w:numFmt w:val="bullet"/>
      <w:suff w:val="tab"/>
      <w:lvlText w:val=""/>
      <w:pPr>
        <w:spacing/>
        <w:ind w:left="1080" w:hanging="360"/>
      </w:pPr>
      <w:rPr>
        <w:rFonts w:ascii="Symbol" w:hAnsi="Symbol"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29">
    <w:nsid w:val="710A4B14"/>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0">
    <w:nsid w:val="753E1612"/>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776D6BB0"/>
    <w:lvl w:ilvl="0">
      <w:start w:val="1"/>
      <w:numFmt w:val="bullet"/>
      <w:suff w:val="tab"/>
      <w:lvlText w:val=""/>
      <w:pPr>
        <w:spacing/>
        <w:ind w:left="1800" w:hanging="360"/>
      </w:pPr>
      <w:rPr>
        <w:rFonts w:ascii="Symbol" w:hAnsi="Symbol" w:hint="default"/>
      </w:rPr>
    </w:lvl>
    <w:lvl w:ilvl="1">
      <w:start w:val="1"/>
      <w:numFmt w:val="bullet"/>
      <w:suff w:val="tab"/>
      <w:lvlText w:val="o"/>
      <w:pPr>
        <w:spacing/>
        <w:ind w:left="2520" w:hanging="360"/>
      </w:pPr>
      <w:rPr>
        <w:rFonts w:ascii="Courier New" w:hAnsi="Courier New" w:cs="Courier New" w:hint="default"/>
      </w:rPr>
    </w:lvl>
    <w:lvl w:ilvl="2">
      <w:start w:val="1"/>
      <w:numFmt w:val="bullet"/>
      <w:suff w:val="tab"/>
      <w:lvlText w:val=""/>
      <w:pPr>
        <w:spacing/>
        <w:ind w:left="3240" w:hanging="360"/>
      </w:pPr>
      <w:rPr>
        <w:rFonts w:ascii="Wingdings" w:hAnsi="Wingdings" w:hint="default"/>
      </w:rPr>
    </w:lvl>
    <w:lvl w:ilvl="3">
      <w:start w:val="1"/>
      <w:numFmt w:val="bullet"/>
      <w:suff w:val="tab"/>
      <w:lvlText w:val=""/>
      <w:pPr>
        <w:spacing/>
        <w:ind w:left="3960" w:hanging="360"/>
      </w:pPr>
      <w:rPr>
        <w:rFonts w:ascii="Symbol" w:hAnsi="Symbol" w:hint="default"/>
      </w:rPr>
    </w:lvl>
    <w:lvl w:ilvl="4">
      <w:start w:val="1"/>
      <w:numFmt w:val="bullet"/>
      <w:suff w:val="tab"/>
      <w:lvlText w:val="o"/>
      <w:pPr>
        <w:spacing/>
        <w:ind w:left="4680" w:hanging="360"/>
      </w:pPr>
      <w:rPr>
        <w:rFonts w:ascii="Courier New" w:hAnsi="Courier New" w:cs="Courier New" w:hint="default"/>
      </w:rPr>
    </w:lvl>
    <w:lvl w:ilvl="5">
      <w:start w:val="1"/>
      <w:numFmt w:val="bullet"/>
      <w:suff w:val="tab"/>
      <w:lvlText w:val=""/>
      <w:pPr>
        <w:spacing/>
        <w:ind w:left="5400" w:hanging="360"/>
      </w:pPr>
      <w:rPr>
        <w:rFonts w:ascii="Wingdings" w:hAnsi="Wingdings" w:hint="default"/>
      </w:rPr>
    </w:lvl>
    <w:lvl w:ilvl="6">
      <w:start w:val="1"/>
      <w:numFmt w:val="bullet"/>
      <w:suff w:val="tab"/>
      <w:lvlText w:val=""/>
      <w:pPr>
        <w:spacing/>
        <w:ind w:left="6120" w:hanging="360"/>
      </w:pPr>
      <w:rPr>
        <w:rFonts w:ascii="Symbol" w:hAnsi="Symbol" w:hint="default"/>
      </w:rPr>
    </w:lvl>
    <w:lvl w:ilvl="7">
      <w:start w:val="1"/>
      <w:numFmt w:val="bullet"/>
      <w:suff w:val="tab"/>
      <w:lvlText w:val="o"/>
      <w:pPr>
        <w:spacing/>
        <w:ind w:left="6840" w:hanging="360"/>
      </w:pPr>
      <w:rPr>
        <w:rFonts w:ascii="Courier New" w:hAnsi="Courier New" w:cs="Courier New" w:hint="default"/>
      </w:rPr>
    </w:lvl>
    <w:lvl w:ilvl="8">
      <w:start w:val="1"/>
      <w:numFmt w:val="bullet"/>
      <w:suff w:val="tab"/>
      <w:lvlText w:val=""/>
      <w:pPr>
        <w:spacing/>
        <w:ind w:left="7560" w:hanging="360"/>
      </w:pPr>
      <w:rPr>
        <w:rFonts w:ascii="Wingdings" w:hAnsi="Wingdings" w:hint="default"/>
      </w:rPr>
    </w:lvl>
  </w:abstractNum>
  <w:abstractNum w:abstractNumId="32">
    <w:nsid w:val="78C14EA2"/>
    <w:lvl w:ilvl="0">
      <w:start w:val="1"/>
      <w:numFmt w:val="bullet"/>
      <w:suff w:val="tab"/>
      <w:lvlText w:val=""/>
      <w:pPr>
        <w:spacing/>
        <w:ind w:left="360" w:hanging="360"/>
      </w:pPr>
      <w:rPr>
        <w:rFonts w:ascii="Symbol" w:hAnsi="Symbol" w:hint="default"/>
      </w:rPr>
    </w:lvl>
    <w:lvl w:ilvl="1">
      <w:start w:val="1"/>
      <w:numFmt w:val="bullet"/>
      <w:suff w:val="tab"/>
      <w:lvlText w:val=""/>
      <w:pPr>
        <w:spacing/>
        <w:ind w:left="360" w:hanging="360"/>
      </w:pPr>
      <w:rPr>
        <w:rFonts w:ascii="Symbol" w:hAnsi="Symbol" w:hint="default"/>
      </w:rPr>
    </w:lvl>
    <w:lvl w:ilvl="2">
      <w:start w:val="1"/>
      <w:numFmt w:val="bullet"/>
      <w:suff w:val="tab"/>
      <w:lvlText w:val=""/>
      <w:pPr>
        <w:spacing/>
        <w:ind w:left="1080" w:hanging="360"/>
      </w:pPr>
      <w:rPr>
        <w:rFonts w:ascii="Wingdings" w:hAnsi="Wingdings" w:hint="default"/>
      </w:rPr>
    </w:lvl>
    <w:lvl w:ilvl="3">
      <w:start w:val="1"/>
      <w:numFmt w:val="bullet"/>
      <w:suff w:val="tab"/>
      <w:lvlText w:val=""/>
      <w:pPr>
        <w:spacing/>
        <w:ind w:left="1800" w:hanging="360"/>
      </w:pPr>
      <w:rPr>
        <w:rFonts w:ascii="Symbol" w:hAnsi="Symbol" w:hint="default"/>
      </w:rPr>
    </w:lvl>
    <w:lvl w:ilvl="4">
      <w:start w:val="1"/>
      <w:numFmt w:val="bullet"/>
      <w:suff w:val="tab"/>
      <w:lvlText w:val="o"/>
      <w:pPr>
        <w:spacing/>
        <w:ind w:left="2520" w:hanging="360"/>
      </w:pPr>
      <w:rPr>
        <w:rFonts w:ascii="Courier New" w:hAnsi="Courier New" w:cs="Courier New" w:hint="default"/>
      </w:rPr>
    </w:lvl>
    <w:lvl w:ilvl="5">
      <w:start w:val="1"/>
      <w:numFmt w:val="bullet"/>
      <w:suff w:val="tab"/>
      <w:lvlText w:val=""/>
      <w:pPr>
        <w:spacing/>
        <w:ind w:left="3240" w:hanging="360"/>
      </w:pPr>
      <w:rPr>
        <w:rFonts w:ascii="Wingdings" w:hAnsi="Wingdings" w:hint="default"/>
      </w:rPr>
    </w:lvl>
    <w:lvl w:ilvl="6">
      <w:start w:val="1"/>
      <w:numFmt w:val="bullet"/>
      <w:suff w:val="tab"/>
      <w:lvlText w:val=""/>
      <w:pPr>
        <w:spacing/>
        <w:ind w:left="3960" w:hanging="360"/>
      </w:pPr>
      <w:rPr>
        <w:rFonts w:ascii="Symbol" w:hAnsi="Symbol" w:hint="default"/>
      </w:rPr>
    </w:lvl>
    <w:lvl w:ilvl="7">
      <w:start w:val="1"/>
      <w:numFmt w:val="bullet"/>
      <w:suff w:val="tab"/>
      <w:lvlText w:val="o"/>
      <w:pPr>
        <w:spacing/>
        <w:ind w:left="4680" w:hanging="360"/>
      </w:pPr>
      <w:rPr>
        <w:rFonts w:ascii="Courier New" w:hAnsi="Courier New" w:cs="Courier New" w:hint="default"/>
      </w:rPr>
    </w:lvl>
    <w:lvl w:ilvl="8">
      <w:start w:val="1"/>
      <w:numFmt w:val="bullet"/>
      <w:suff w:val="tab"/>
      <w:lvlText w:val=""/>
      <w:pPr>
        <w:spacing/>
        <w:ind w:left="5400" w:hanging="360"/>
      </w:pPr>
      <w:rPr>
        <w:rFonts w:ascii="Wingdings" w:hAnsi="Wingdings" w:hint="default"/>
      </w:rPr>
    </w:lvl>
  </w:abstractNum>
  <w:abstractNum w:abstractNumId="33">
    <w:nsid w:val="7F570FC4"/>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4">
    <w:nsid w:val="6A528FB1"/>
    <w:lvl w:ilvl="0">
      <w:start w:val="1"/>
      <w:numFmt w:val="bullet"/>
      <w:suff w:val="tab"/>
      <w:lvlText w:val=""/>
      <w:pPr>
        <w:spacing/>
        <w:ind w:left="360" w:hanging="360"/>
      </w:pPr>
      <w:rPr>
        <w:rFonts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stylePaneFormatFilter xmlns:w="http://schemas.openxmlformats.org/wordprocessingml/2006/main"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AU"/>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z w:val="24"/>
    </w:rPr>
  </w:style>
  <w:style w:type="paragraph" w:styleId="Heading1">
    <w:name w:val="Heading 1"/>
    <w:basedOn w:val="Normal"/>
    <w:link w:val="Heading1Char"/>
    <w:qFormat/>
    <w:pPr>
      <w:keepNext/>
      <w:keepLines/>
      <w:pageBreakBefore/>
      <w:spacing w:before="480" w:line="420" w:lineRule="exact"/>
      <w:outlineLvl w:val="0"/>
    </w:pPr>
    <w:rPr>
      <w:rFonts w:ascii="Calibri" w:hAnsi="Calibri" w:eastAsia="Calibri" w:cs="Calibri"/>
      <w:color w:val="2F5496"/>
      <w:kern w:val="2"/>
      <w:sz w:val="48"/>
      <w:szCs w:val="20"/>
      <w:lang w:val="en-US" w:eastAsia="ar-SA"/>
      <w14:ligatures w14:val="standard"/>
    </w:rPr>
  </w:style>
  <w:style w:type="paragraph" w:styleId="Heading2">
    <w:name w:val="Heading 2"/>
    <w:basedOn w:val="Normal"/>
    <w:next w:val="Normal"/>
    <w:link w:val="Heading2Char"/>
    <w:uiPriority w:val="9"/>
    <w:unhideWhenUsed/>
    <w:qFormat/>
    <w:pPr>
      <w:keepNext/>
      <w:keepLines/>
      <w:pBdr>
        <w:bottom w:val="single" w:color="auto" w:sz="4" w:space="1"/>
      </w:pBdr>
      <w:spacing w:before="40"/>
      <w:outlineLvl w:val="1"/>
    </w:pPr>
    <w:rPr>
      <w:rFonts w:ascii="Calibri" w:hAnsi="Calibri" w:eastAsiaTheme="majorEastAsia" w:cstheme="majorBidi"/>
      <w:color w:val="2F5496"/>
      <w:sz w:val="32"/>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hAnsiTheme="majorHAnsi" w:eastAsiaTheme="majorEastAsia" w:cstheme="majorBidi"/>
      <w:i/>
      <w:iCs/>
      <w:color w:val="2F5496"/>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paragraph" w:styleId="ListParagraph">
    <w:name w:val="List Paragraph"/>
    <w:basedOn w:val="Normal"/>
    <w:uiPriority w:val="34"/>
    <w:qFormat/>
    <w:pPr>
      <w:spacing/>
      <w:ind w:left="720"/>
      <w:contextualSpacing/>
    </w:pPr>
    <w:rPr/>
  </w:style>
  <w:style w:type="table" w:styleId="TableGrid">
    <w:name w:val="Table Grid"/>
    <w:basedOn w:val="TableNormal"/>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customStyle="1">
    <w:name w:val="Grid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vAlign w:val="top"/>
      </w:tcPr>
    </w:tblStylePr>
    <w:tblStylePr w:type="lastRow">
      <w:rPr>
        <w:b/>
        <w:bCs/>
      </w:rPr>
      <w:tcPr>
        <w:tcBorders>
          <w:top w:val="double" w:color="4472C4"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UnresolvedMention" w:customStyle="1">
    <w:name w:val="Unresolved Mention"/>
    <w:basedOn w:val="DefaultParagraphFont"/>
    <w:uiPriority w:val="99"/>
    <w:semiHidden/>
    <w:unhideWhenUsed/>
    <w:rPr>
      <w:color w:val="605E5C"/>
      <w:shd w:val="clear" w:color="auto" w:fill="E1DFDD"/>
    </w:rPr>
  </w:style>
  <w:style w:type="table" w:styleId="GridTable4-Accent5" w:customStyle="1">
    <w:name w:val="Grid Table 4 Accent 5"/>
    <w:basedOn w:val="TableNormal"/>
    <w:uiPriority w:val="49"/>
    <w:pPr>
      <w:spacing w:after="0" w:line="240" w:lineRule="auto"/>
    </w:pPr>
    <w:tblPr>
      <w:tblStyleRowBandSize w:val="1"/>
      <w:tblStyleColBandSize w:val="1"/>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vAlign w:val="top"/>
      </w:tcPr>
    </w:tblStylePr>
    <w:tblStylePr w:type="lastRow">
      <w:rPr>
        <w:b/>
        <w:bCs/>
      </w:rPr>
      <w:tcPr>
        <w:tcBorders>
          <w:top w:val="double" w:color="5B9BD5" w:sz="4" w:space="0"/>
        </w:tcBorders>
        <w:vAlign w:val="top"/>
      </w:tcPr>
    </w:tblStylePr>
    <w:tblStylePr w:type="firstCol">
      <w:rPr>
        <w:b/>
        <w:bCs/>
      </w:rPr>
    </w:tblStylePr>
    <w:tblStylePr w:type="lastCol">
      <w:rPr>
        <w:b/>
        <w:bCs/>
      </w:rPr>
    </w:tblStylePr>
    <w:tblStylePr w:type="band1Vert">
      <w:tcPr>
        <w:shd w:val="clear" w:color="auto" w:fill="DEEAF6"/>
        <w:vAlign w:val="top"/>
      </w:tcPr>
    </w:tblStylePr>
    <w:tblStylePr w:type="band1Horz">
      <w:tcPr>
        <w:shd w:val="clear" w:color="auto" w:fill="DEEAF6"/>
        <w:vAlign w:val="top"/>
      </w:tcPr>
    </w:tblStylePr>
  </w:style>
  <w:style w:type="table" w:styleId="ListTable3-Accent5" w:customStyle="1">
    <w:name w:val="List Table 3 Accent 5"/>
    <w:basedOn w:val="TableNormal"/>
    <w:uiPriority w:val="48"/>
    <w:pPr>
      <w:spacing w:after="0" w:line="240" w:lineRule="auto"/>
    </w:p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firstRow">
      <w:rPr>
        <w:b/>
        <w:bCs/>
        <w:color w:val="FFFFFF"/>
      </w:rPr>
      <w:tcPr>
        <w:shd w:val="clear" w:color="auto" w:fill="5B9BD5"/>
        <w:vAlign w:val="top"/>
      </w:tcPr>
    </w:tblStylePr>
    <w:tblStylePr w:type="lastRow">
      <w:rPr>
        <w:b/>
        <w:bCs/>
      </w:rPr>
      <w:tcPr>
        <w:tcBorders>
          <w:top w:val="double" w:color="5B9BD5" w:sz="4" w:space="0"/>
        </w:tcBorders>
        <w:shd w:val="clear" w:color="auto" w:fill="FFFFFF"/>
        <w:vAlign w:val="top"/>
      </w:tcPr>
    </w:tblStylePr>
    <w:tblStylePr w:type="firstCol">
      <w:rPr>
        <w:b/>
        <w:bCs/>
      </w:rPr>
      <w:tcPr>
        <w:tcBorders>
          <w:right w:val="nil"/>
        </w:tcBorders>
        <w:shd w:val="clear" w:color="auto" w:fill="FFFFFF"/>
        <w:vAlign w:val="top"/>
      </w:tcPr>
    </w:tblStylePr>
    <w:tblStylePr w:type="lastCol">
      <w:rPr>
        <w:b/>
        <w:bCs/>
      </w:rPr>
      <w:tcPr>
        <w:tcBorders>
          <w:left w:val="nil"/>
        </w:tcBorders>
        <w:shd w:val="clear" w:color="auto" w:fill="FFFFFF"/>
        <w:vAlign w:val="top"/>
      </w:tcPr>
    </w:tblStylePr>
    <w:tblStylePr w:type="band1Vert">
      <w:tcPr>
        <w:tcBorders>
          <w:left w:val="single" w:color="5B9BD5" w:sz="4" w:space="0"/>
          <w:right w:val="single" w:color="5B9BD5" w:sz="4" w:space="0"/>
        </w:tcBorders>
        <w:vAlign w:val="top"/>
      </w:tcPr>
    </w:tblStylePr>
    <w:tblStylePr w:type="band1Horz">
      <w:tcPr>
        <w:tcBorders>
          <w:top w:val="single" w:color="5B9BD5" w:sz="4" w:space="0"/>
          <w:bottom w:val="single" w:color="5B9BD5" w:sz="4" w:space="0"/>
          <w:insideH w:val="nil"/>
        </w:tcBorders>
        <w:vAlign w:val="top"/>
      </w:tcPr>
    </w:tblStylePr>
    <w:tblStylePr w:type="neCell">
      <w:tcPr>
        <w:tcBorders>
          <w:left w:val="nil"/>
          <w:bottom w:val="nil"/>
        </w:tcBorders>
        <w:vAlign w:val="top"/>
      </w:tcPr>
    </w:tblStylePr>
    <w:tblStylePr w:type="nwCell">
      <w:tcPr>
        <w:tcBorders>
          <w:bottom w:val="nil"/>
          <w:right w:val="nil"/>
        </w:tcBorders>
        <w:vAlign w:val="top"/>
      </w:tcPr>
    </w:tblStylePr>
    <w:tblStylePr w:type="seCell">
      <w:tcPr>
        <w:tcBorders>
          <w:top w:val="double" w:color="5B9BD5" w:sz="4" w:space="0"/>
          <w:left w:val="nil"/>
        </w:tcBorders>
        <w:vAlign w:val="top"/>
      </w:tcPr>
    </w:tblStylePr>
    <w:tblStylePr w:type="swCell">
      <w:tcPr>
        <w:tcBorders>
          <w:top w:val="double" w:color="5B9BD5" w:sz="4" w:space="0"/>
          <w:right w:val="nil"/>
        </w:tcBorders>
        <w:vAlign w:val="top"/>
      </w:tcPr>
    </w:tblStylePr>
  </w:style>
  <w:style w:type="table" w:styleId="GridTable5Dark-Accent1" w:customStyle="1">
    <w:name w:val="Grid Table 5 Dark Accent 1"/>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9E2F3"/>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472C4"/>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472C4"/>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472C4"/>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472C4"/>
        <w:vAlign w:val="top"/>
      </w:tcPr>
    </w:tblStylePr>
    <w:tblStylePr w:type="band1Vert">
      <w:tcPr>
        <w:shd w:val="clear" w:color="auto" w:fill="B4C6E7"/>
        <w:vAlign w:val="top"/>
      </w:tcPr>
    </w:tblStylePr>
    <w:tblStylePr w:type="band1Horz">
      <w:tcPr>
        <w:shd w:val="clear" w:color="auto" w:fill="B4C6E7"/>
        <w:vAlign w:val="top"/>
      </w:tcPr>
    </w:tblStylePr>
  </w:style>
  <w:style w:type="table" w:styleId="GridTable5Dark-Accent5" w:customStyle="1">
    <w:name w:val="Grid Table 5 Dark Accent 5"/>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B9BD5"/>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B9BD5"/>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B9BD5"/>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B9BD5"/>
        <w:vAlign w:val="top"/>
      </w:tcPr>
    </w:tblStylePr>
    <w:tblStylePr w:type="band1Vert">
      <w:tcPr>
        <w:shd w:val="clear" w:color="auto" w:fill="BDD6EE"/>
        <w:vAlign w:val="top"/>
      </w:tcPr>
    </w:tblStylePr>
    <w:tblStylePr w:type="band1Horz">
      <w:tcPr>
        <w:shd w:val="clear" w:color="auto" w:fill="BDD6EE"/>
        <w:vAlign w:val="top"/>
      </w:tcPr>
    </w:tblStylePr>
  </w:style>
  <w:style w:type="character" w:styleId="Hyperlink">
    <w:name w:val="Hyperlink"/>
    <w:basedOn w:val="DefaultParagraphFont"/>
    <w:uiPriority w:val="99"/>
    <w:unhideWhenUsed/>
    <w:rPr>
      <w:color w:val="0563C1"/>
      <w:u w:val="single"/>
    </w:rPr>
  </w:style>
  <w:style w:type="paragraph" w:styleId="Header">
    <w:name w:val="Header"/>
    <w:basedOn w:val="Normal"/>
    <w:link w:val="HeaderChar"/>
    <w:uiPriority w:val="99"/>
    <w:unhideWhenUsed/>
    <w:pPr>
      <w:tabs>
        <w:tab w:val="center" w:pos="4513"/>
        <w:tab w:val="right" w:pos="9026"/>
      </w:tabs>
      <w:spacing w:line="240" w:lineRule="auto"/>
    </w:pPr>
    <w:rPr/>
  </w:style>
  <w:style w:type="character" w:styleId="HeaderChar" w:customStyle="1">
    <w:name w:val="Header Char"/>
    <w:basedOn w:val="DefaultParagraphFont"/>
    <w:link w:val="Header"/>
    <w:uiPriority w:val="99"/>
    <w:rPr/>
  </w:style>
  <w:style w:type="paragraph" w:styleId="Footer">
    <w:name w:val="Footer"/>
    <w:basedOn w:val="Normal"/>
    <w:link w:val="FooterChar"/>
    <w:unhideWhenUsed/>
    <w:qFormat/>
    <w:pPr>
      <w:tabs>
        <w:tab w:val="center" w:pos="4513"/>
        <w:tab w:val="right" w:pos="9026"/>
      </w:tabs>
      <w:spacing w:line="240" w:lineRule="auto"/>
    </w:pPr>
    <w:rPr/>
  </w:style>
  <w:style w:type="character" w:styleId="FooterChar" w:customStyle="1">
    <w:name w:val="Footer Char"/>
    <w:basedOn w:val="DefaultParagraphFont"/>
    <w:link w:val="Footer"/>
    <w:rPr/>
  </w:style>
  <w:style w:type="paragraph" w:styleId="NoSpacing1" w:customStyle="1">
    <w:name w:val="No Spacing1"/>
    <w:qFormat/>
    <w:pPr>
      <w:spacing w:after="0" w:line="240" w:lineRule="auto"/>
    </w:pPr>
    <w:rPr>
      <w:rFonts w:ascii="Franklin Gothic Medium" w:hAnsi="Franklin Gothic Medium" w:eastAsia="Franklin Gothic Medium" w:cs="Franklin Gothic Medium"/>
      <w:color w:val="222F28"/>
      <w:kern w:val="2"/>
      <w:sz w:val="18"/>
      <w:szCs w:val="20"/>
      <w:lang w:val="en-US" w:eastAsia="ar-SA"/>
      <w14:ligatures w14:val="standard"/>
    </w:rPr>
  </w:style>
  <w:style w:type="character" w:styleId="Heading1Char" w:customStyle="1">
    <w:name w:val="Heading 1 Char"/>
    <w:basedOn w:val="DefaultParagraphFont"/>
    <w:link w:val="Heading1"/>
    <w:rPr>
      <w:rFonts w:ascii="Calibri" w:hAnsi="Calibri" w:eastAsia="Calibri" w:cs="Calibri"/>
      <w:color w:val="2F5496"/>
      <w:kern w:val="2"/>
      <w:sz w:val="48"/>
      <w:szCs w:val="20"/>
      <w:lang w:val="en-US" w:eastAsia="ar-SA"/>
      <w14:ligatures w14:val="standard"/>
    </w:rPr>
  </w:style>
  <w:style w:type="paragraph" w:styleId="TOCHeading" w:customStyle="1">
    <w:name w:val="TOC Heading"/>
    <w:basedOn w:val="Heading1"/>
    <w:next w:val="Normal"/>
    <w:uiPriority w:val="39"/>
    <w:unhideWhenUsed/>
    <w:qFormat/>
    <w:pPr>
      <w:spacing w:before="240" w:line="259" w:lineRule="auto"/>
    </w:pPr>
    <w:rPr>
      <w:rFonts w:asciiTheme="majorHAnsi" w:hAnsiTheme="majorHAnsi" w:eastAsiaTheme="majorEastAsia" w:cstheme="majorBidi"/>
      <w:kern w:val="0"/>
      <w:sz w:val="32"/>
      <w:szCs w:val="32"/>
      <w:lang w:eastAsia="en-US"/>
      <w14:ligatures w14:val="none"/>
    </w:rPr>
  </w:style>
  <w:style w:type="paragraph" w:styleId="TOC1">
    <w:name w:val="TOC 1"/>
    <w:basedOn w:val="Normal"/>
    <w:next w:val="Normal"/>
    <w:uiPriority w:val="39"/>
    <w:unhideWhenUsed/>
    <w:pPr>
      <w:spacing w:after="100"/>
    </w:pPr>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CommentReference" w:customStyle="1">
    <w:name w:val="annotation reference"/>
    <w:basedOn w:val="DefaultParagraphFont"/>
    <w:uiPriority w:val="99"/>
    <w:semiHidden/>
    <w:unhideWhenUsed/>
    <w:rPr>
      <w:sz w:val="16"/>
      <w:szCs w:val="16"/>
    </w:rPr>
  </w:style>
  <w:style w:type="paragraph" w:styleId="CommentText" w:customStyle="1">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annotationtext"/>
    <w:uiPriority w:val="99"/>
    <w:semiHidden/>
    <w:rPr>
      <w:sz w:val="20"/>
      <w:szCs w:val="20"/>
    </w:rPr>
  </w:style>
  <w:style w:type="paragraph" w:styleId="CommentSubject" w:customStyle="1">
    <w:name w:val="annotation subject"/>
    <w:basedOn w:val="CommentText"/>
    <w:next w:val="CommentText"/>
    <w:link w:val="CommentSubjectChar"/>
    <w:uiPriority w:val="99"/>
    <w:semiHidden/>
    <w:unhideWhenUsed/>
    <w:pPr>
      <w:spacing/>
    </w:pPr>
    <w:rPr>
      <w:b/>
      <w:bCs/>
    </w:rPr>
  </w:style>
  <w:style w:type="character" w:styleId="CommentSubjectChar" w:customStyle="1">
    <w:name w:val="Comment Subject Char"/>
    <w:basedOn w:val="CommentTextChar"/>
    <w:link w:val="annotationsubject"/>
    <w:uiPriority w:val="99"/>
    <w:semiHidden/>
    <w:rPr>
      <w:b/>
      <w:bCs/>
      <w:sz w:val="20"/>
      <w:szCs w:val="20"/>
    </w:rPr>
  </w:style>
  <w:style w:type="table" w:styleId="ListTable4-Accent1" w:customStyle="1">
    <w:name w:val="List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tcBorders>
        <w:shd w:val="clear" w:color="auto" w:fill="4472C4"/>
        <w:vAlign w:val="top"/>
      </w:tcPr>
    </w:tblStylePr>
    <w:tblStylePr w:type="lastRow">
      <w:rPr>
        <w:b/>
        <w:bCs/>
      </w:rPr>
      <w:tcPr>
        <w:tcBorders>
          <w:top w:val="double" w:color="8EAADB"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2F5496"/>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cs="Times New Roman"/>
      <w:szCs w:val="24"/>
      <w:lang w:val="en-NZ" w:eastAsia="en-NZ"/>
    </w:rPr>
  </w:style>
  <w:style w:type="table" w:styleId="TableGrid1" w:customStyle="1">
    <w:name w:val="Table Grid1"/>
    <w:basedOn w:val="TableNormal"/>
    <w:next w:val="TableGri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Pr>
      <w:rFonts w:ascii="Calibri" w:hAnsi="Calibri" w:eastAsiaTheme="majorEastAsia" w:cstheme="majorBidi"/>
      <w:color w:val="2F5496"/>
      <w:sz w:val="32"/>
      <w:szCs w:val="26"/>
    </w:rPr>
  </w:style>
  <w:style w:type="paragraph" w:styleId="TOC2">
    <w:name w:val="TOC 2"/>
    <w:basedOn w:val="Normal"/>
    <w:next w:val="Normal"/>
    <w:uiPriority w:val="39"/>
    <w:unhideWhenUsed/>
    <w:pPr>
      <w:spacing w:after="100"/>
      <w:ind w:left="220"/>
    </w:pPr>
    <w:rPr/>
  </w:style>
  <w:style w:type="paragraph" w:styleId="ListBullet">
    <w:name w:val="List Bullet"/>
    <w:basedOn w:val="Normal"/>
    <w:uiPriority w:val="99"/>
    <w:unhideWhenUsed/>
    <w:numPr>
      <w:numId w:val="10"/>
    </w:numPr>
    <w:pPr>
      <w:numPr>
        <w:numId w:val="10"/>
      </w:numPr>
      <w:spacing/>
      <w:ind w:left="357" w:hanging="357"/>
      <w:contextualSpacing/>
    </w:pPr>
    <w:rPr/>
  </w:style>
  <w:style w:type="paragraph" w:styleId="ListBullet2">
    <w:name w:val="List Bullet 2"/>
    <w:basedOn w:val="Normal"/>
    <w:uiPriority w:val="99"/>
    <w:unhideWhenUsed/>
    <w:numPr>
      <w:numId w:val="8"/>
    </w:numPr>
    <w:pPr>
      <w:numPr>
        <w:numId w:val="8"/>
      </w:numPr>
      <w:spacing/>
      <w:contextualSpacing/>
    </w:pPr>
    <w:rPr/>
  </w:style>
  <w:style w:type="paragraph" w:styleId="List5">
    <w:name w:val="List 5"/>
    <w:basedOn w:val="Normal"/>
    <w:uiPriority w:val="99"/>
    <w:semiHidden/>
    <w:unhideWhenUsed/>
    <w:numPr>
      <w:numId w:val="25"/>
    </w:numPr>
    <w:pPr>
      <w:numPr>
        <w:numId w:val="25"/>
      </w:numPr>
      <w:spacing/>
      <w:contextualSpacing/>
    </w:pPr>
    <w:rPr/>
  </w:style>
  <w:style w:type="paragraph" w:styleId="Subtitle">
    <w:name w:val="Subtitle"/>
    <w:basedOn w:val="Normal"/>
    <w:next w:val="Normal"/>
    <w:link w:val="SubtitleChar"/>
    <w:qFormat/>
    <w:numPr>
      <w:ilvl w:val="1"/>
    </w:numPr>
    <w:pPr>
      <w:numPr>
        <w:ilvl w:val="1"/>
      </w:numPr>
      <w:spacing/>
    </w:pPr>
    <w:rPr>
      <w:rFonts w:eastAsiaTheme="minorEastAsia"/>
      <w:color w:val="2F5496"/>
      <w:spacing w:val="15"/>
    </w:rPr>
  </w:style>
  <w:style w:type="character" w:styleId="SubtitleChar" w:customStyle="1">
    <w:name w:val="Subtitle Char"/>
    <w:basedOn w:val="DefaultParagraphFont"/>
    <w:link w:val="Subtitle"/>
    <w:rPr>
      <w:rFonts w:eastAsiaTheme="minorEastAsia"/>
      <w:color w:val="2F5496"/>
      <w:spacing w:val="15"/>
      <w:sz w:val="24"/>
    </w:rPr>
  </w:style>
  <w:style w:type="character" w:styleId="Strong">
    <w:name w:val="Strong"/>
    <w:basedOn w:val="DefaultParagraphFont"/>
    <w:qFormat/>
    <w:rPr>
      <w:b w:val="0"/>
      <w:bCs/>
      <w:color w:val="2F5496"/>
      <w:sz w:val="32"/>
    </w:rPr>
  </w:style>
</w:styles>
</file>

<file path=word/_rels/document.xml.rels>&#65279;<?xml version="1.0" encoding="utf-8" standalone="yes"?><Relationships xmlns="http://schemas.openxmlformats.org/package/2006/relationships"><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theme" Target="theme/theme1.xml" /><Relationship Id="rId7" Type="http://schemas.openxmlformats.org/officeDocument/2006/relationships/numbering" Target="numbering.xml" /><Relationship Id="rId1" Type="http://schemas.openxmlformats.org/officeDocument/2006/relationships/footer" Target="footer1.xml" /><Relationship Id="rId8" Type="http://schemas.openxmlformats.org/officeDocument/2006/relationships/fontTable" Target="fontTable.xml" /><Relationship Id="rId2" Type="http://schemas.openxmlformats.org/officeDocument/2006/relationships/image" Target="media/image1.png" /><Relationship Id="rId3" Type="http://schemas.openxmlformats.org/officeDocument/2006/relationships/image" Target="media/image2.png"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 Id="rId12"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34533360970409609ED4B0ADB96D7" ma:contentTypeVersion="13" ma:contentTypeDescription="Create a new document." ma:contentTypeScope="" ma:versionID="e204f79299a8ebb3214f02a0292906aa">
  <xsd:schema xmlns:xsd="http://www.w3.org/2001/XMLSchema" xmlns:xs="http://www.w3.org/2001/XMLSchema" xmlns:p="http://schemas.microsoft.com/office/2006/metadata/properties" xmlns:ns3="31047734-af16-49d5-be69-377efec18aa1" xmlns:ns4="b32734f1-9df6-4e0d-ab19-67c8063d5c38" targetNamespace="http://schemas.microsoft.com/office/2006/metadata/properties" ma:root="true" ma:fieldsID="302257d5d1e86794eae2cc820fb6a395" ns3:_="" ns4:_="">
    <xsd:import namespace="31047734-af16-49d5-be69-377efec18aa1"/>
    <xsd:import namespace="b32734f1-9df6-4e0d-ab19-67c8063d5c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3:MediaServiceOCR"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47734-af16-49d5-be69-377efec18a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2734f1-9df6-4e0d-ab19-67c8063d5c3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4400-B1D8-448F-8703-57F92EB9BF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F119AE-0C7C-4514-A3C9-13FF7CCCE3EB}">
  <ds:schemaRefs>
    <ds:schemaRef ds:uri="http://schemas.microsoft.com/sharepoint/v3/contenttype/forms"/>
  </ds:schemaRefs>
</ds:datastoreItem>
</file>

<file path=customXml/itemProps3.xml><?xml version="1.0" encoding="utf-8"?>
<ds:datastoreItem xmlns:ds="http://schemas.openxmlformats.org/officeDocument/2006/customXml" ds:itemID="{BCDA2F3D-7D26-4BAA-A999-31EB739FB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47734-af16-49d5-be69-377efec18aa1"/>
    <ds:schemaRef ds:uri="b32734f1-9df6-4e0d-ab19-67c8063d5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9346B-31D6-4EBB-BE3D-483472BE4E0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81</TotalTime>
  <Pages>4</Pages>
  <Words>272</Words>
  <Characters>1554</Characters>
  <Application>Microsoft Office Word</Application>
  <DocSecurity>0</DocSecurity>
  <Lines>12</Lines>
  <Paragraphs>3</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ATIC Accessibility</dc:title>
  <dc:subject/>
  <dc:creator>Erin McLeod</dc:creator>
  <cp:keywords/>
  <dc:description/>
  <cp:lastModifiedBy>Joe Tsang</cp:lastModifiedBy>
  <cp:revision>62</cp:revision>
  <dcterms:created xsi:type="dcterms:W3CDTF">2021-01-13T02:48:00Z</dcterms:created>
  <dcterms:modified xsi:type="dcterms:W3CDTF">2024-04-02T22:01:00Z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0x010100F2C34533360970409609ED4B0ADB96D7</vt:lpstr>
  </property>
</Properties>
</file>